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736" w:type="dxa"/>
        <w:tblInd w:w="108" w:type="dxa"/>
        <w:tblLayout w:type="fixed"/>
        <w:tblLook w:val="0000" w:firstRow="0" w:lastRow="0" w:firstColumn="0" w:lastColumn="0" w:noHBand="0" w:noVBand="0"/>
      </w:tblPr>
      <w:tblGrid>
        <w:gridCol w:w="616"/>
        <w:gridCol w:w="160"/>
        <w:gridCol w:w="520"/>
        <w:gridCol w:w="675"/>
        <w:gridCol w:w="723"/>
        <w:gridCol w:w="1275"/>
        <w:gridCol w:w="1134"/>
        <w:gridCol w:w="1168"/>
        <w:gridCol w:w="547"/>
        <w:gridCol w:w="418"/>
        <w:gridCol w:w="277"/>
        <w:gridCol w:w="601"/>
        <w:gridCol w:w="1134"/>
        <w:gridCol w:w="1182"/>
        <w:gridCol w:w="519"/>
        <w:gridCol w:w="754"/>
        <w:gridCol w:w="1055"/>
        <w:gridCol w:w="1540"/>
        <w:gridCol w:w="272"/>
        <w:gridCol w:w="598"/>
        <w:gridCol w:w="512"/>
        <w:gridCol w:w="158"/>
        <w:gridCol w:w="118"/>
        <w:gridCol w:w="4780"/>
      </w:tblGrid>
      <w:tr w:rsidR="0062591D" w:rsidTr="00565F7B">
        <w:trPr>
          <w:gridAfter w:val="2"/>
          <w:wAfter w:w="4898" w:type="dxa"/>
          <w:trHeight w:val="255"/>
        </w:trPr>
        <w:tc>
          <w:tcPr>
            <w:tcW w:w="7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b/>
                <w:bCs/>
                <w:sz w:val="20"/>
                <w:szCs w:val="20"/>
              </w:rPr>
            </w:pPr>
            <w:bookmarkStart w:id="0" w:name="RANGE!A1:I53"/>
            <w:r>
              <w:rPr>
                <w:rFonts w:ascii="Arial" w:hAnsi="Arial" w:cs="Arial"/>
                <w:b/>
                <w:bCs/>
                <w:sz w:val="20"/>
                <w:szCs w:val="20"/>
              </w:rPr>
              <w:t> </w:t>
            </w:r>
            <w:bookmarkEnd w:id="0"/>
          </w:p>
        </w:tc>
        <w:tc>
          <w:tcPr>
            <w:tcW w:w="1195"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4847" w:type="dxa"/>
            <w:gridSpan w:val="5"/>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96" w:type="dxa"/>
            <w:gridSpan w:val="3"/>
            <w:tcBorders>
              <w:top w:val="nil"/>
              <w:left w:val="nil"/>
              <w:bottom w:val="nil"/>
              <w:right w:val="nil"/>
            </w:tcBorders>
            <w:shd w:val="clear" w:color="auto" w:fill="FFFFFF"/>
          </w:tcPr>
          <w:p w:rsidR="0062591D" w:rsidRDefault="0062591D" w:rsidP="00565F7B">
            <w:pPr>
              <w:rPr>
                <w:rFonts w:ascii="Arial" w:hAnsi="Arial" w:cs="Arial"/>
                <w:sz w:val="20"/>
                <w:szCs w:val="20"/>
              </w:rPr>
            </w:pPr>
          </w:p>
        </w:tc>
        <w:tc>
          <w:tcPr>
            <w:tcW w:w="231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3"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nil"/>
              <w:right w:val="nil"/>
            </w:tcBorders>
            <w:shd w:val="clear" w:color="auto" w:fill="auto"/>
            <w:noWrap/>
            <w:vAlign w:val="center"/>
          </w:tcPr>
          <w:p w:rsidR="0062591D" w:rsidRDefault="0062591D" w:rsidP="00565F7B">
            <w:pPr>
              <w:rPr>
                <w:rFonts w:ascii="Arial" w:hAnsi="Arial" w:cs="Arial"/>
                <w:sz w:val="20"/>
                <w:szCs w:val="20"/>
              </w:rPr>
            </w:pPr>
          </w:p>
        </w:tc>
        <w:tc>
          <w:tcPr>
            <w:tcW w:w="3080" w:type="dxa"/>
            <w:gridSpan w:val="5"/>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6-ojo VSAFAS „Finansinių ataskaitų aiškinamasis raštas“</w:t>
            </w:r>
          </w:p>
        </w:tc>
      </w:tr>
      <w:tr w:rsidR="0062591D" w:rsidTr="00565F7B">
        <w:trPr>
          <w:gridAfter w:val="1"/>
          <w:wAfter w:w="4780" w:type="dxa"/>
          <w:trHeight w:val="255"/>
        </w:trPr>
        <w:tc>
          <w:tcPr>
            <w:tcW w:w="7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b/>
                <w:bCs/>
                <w:sz w:val="20"/>
                <w:szCs w:val="20"/>
              </w:rPr>
            </w:pPr>
            <w:r>
              <w:rPr>
                <w:rFonts w:ascii="Arial" w:hAnsi="Arial" w:cs="Arial"/>
                <w:b/>
                <w:bCs/>
                <w:sz w:val="20"/>
                <w:szCs w:val="20"/>
              </w:rPr>
              <w:t> </w:t>
            </w:r>
          </w:p>
        </w:tc>
        <w:tc>
          <w:tcPr>
            <w:tcW w:w="1195"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4847" w:type="dxa"/>
            <w:gridSpan w:val="5"/>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96" w:type="dxa"/>
            <w:gridSpan w:val="3"/>
            <w:tcBorders>
              <w:top w:val="nil"/>
              <w:left w:val="nil"/>
              <w:bottom w:val="nil"/>
              <w:right w:val="nil"/>
            </w:tcBorders>
            <w:shd w:val="clear" w:color="auto" w:fill="FFFFFF"/>
          </w:tcPr>
          <w:p w:rsidR="0062591D" w:rsidRDefault="0062591D" w:rsidP="00565F7B">
            <w:pPr>
              <w:rPr>
                <w:rFonts w:ascii="Arial" w:hAnsi="Arial" w:cs="Arial"/>
                <w:sz w:val="20"/>
                <w:szCs w:val="20"/>
              </w:rPr>
            </w:pPr>
          </w:p>
        </w:tc>
        <w:tc>
          <w:tcPr>
            <w:tcW w:w="231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3"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 </w:t>
            </w:r>
          </w:p>
        </w:tc>
        <w:tc>
          <w:tcPr>
            <w:tcW w:w="1540" w:type="dxa"/>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1 priedas</w:t>
            </w:r>
          </w:p>
        </w:tc>
        <w:tc>
          <w:tcPr>
            <w:tcW w:w="1382" w:type="dxa"/>
            <w:gridSpan w:val="3"/>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 </w:t>
            </w:r>
          </w:p>
        </w:tc>
        <w:tc>
          <w:tcPr>
            <w:tcW w:w="276" w:type="dxa"/>
            <w:gridSpan w:val="2"/>
            <w:tcBorders>
              <w:top w:val="nil"/>
              <w:left w:val="nil"/>
              <w:bottom w:val="nil"/>
              <w:right w:val="nil"/>
            </w:tcBorders>
            <w:shd w:val="clear" w:color="auto" w:fill="auto"/>
            <w:noWrap/>
            <w:vAlign w:val="center"/>
          </w:tcPr>
          <w:p w:rsidR="0062591D" w:rsidRDefault="0062591D" w:rsidP="00565F7B">
            <w:pPr>
              <w:rPr>
                <w:rFonts w:ascii="Arial" w:hAnsi="Arial" w:cs="Arial"/>
                <w:sz w:val="20"/>
                <w:szCs w:val="20"/>
              </w:rPr>
            </w:pPr>
          </w:p>
        </w:tc>
      </w:tr>
      <w:tr w:rsidR="0062591D" w:rsidTr="00565F7B">
        <w:trPr>
          <w:gridAfter w:val="1"/>
          <w:wAfter w:w="4780" w:type="dxa"/>
          <w:trHeight w:val="255"/>
        </w:trPr>
        <w:tc>
          <w:tcPr>
            <w:tcW w:w="7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b/>
                <w:bCs/>
                <w:sz w:val="20"/>
                <w:szCs w:val="20"/>
              </w:rPr>
            </w:pPr>
            <w:r>
              <w:rPr>
                <w:rFonts w:ascii="Arial" w:hAnsi="Arial" w:cs="Arial"/>
                <w:b/>
                <w:bCs/>
                <w:sz w:val="20"/>
                <w:szCs w:val="20"/>
              </w:rPr>
              <w:t> </w:t>
            </w:r>
          </w:p>
        </w:tc>
        <w:tc>
          <w:tcPr>
            <w:tcW w:w="1195"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4847" w:type="dxa"/>
            <w:gridSpan w:val="5"/>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96" w:type="dxa"/>
            <w:gridSpan w:val="3"/>
            <w:tcBorders>
              <w:top w:val="nil"/>
              <w:left w:val="nil"/>
              <w:bottom w:val="nil"/>
              <w:right w:val="nil"/>
            </w:tcBorders>
            <w:shd w:val="clear" w:color="auto" w:fill="FFFFFF"/>
          </w:tcPr>
          <w:p w:rsidR="0062591D" w:rsidRDefault="0062591D" w:rsidP="00565F7B">
            <w:pPr>
              <w:rPr>
                <w:rFonts w:ascii="Arial" w:hAnsi="Arial" w:cs="Arial"/>
                <w:sz w:val="20"/>
                <w:szCs w:val="20"/>
              </w:rPr>
            </w:pPr>
          </w:p>
        </w:tc>
        <w:tc>
          <w:tcPr>
            <w:tcW w:w="231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3"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540" w:type="dxa"/>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382" w:type="dxa"/>
            <w:gridSpan w:val="3"/>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2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r>
      <w:tr w:rsidR="0062591D" w:rsidTr="00565F7B">
        <w:trPr>
          <w:gridAfter w:val="2"/>
          <w:wAfter w:w="4898" w:type="dxa"/>
          <w:trHeight w:val="300"/>
        </w:trPr>
        <w:tc>
          <w:tcPr>
            <w:tcW w:w="1296" w:type="dxa"/>
            <w:gridSpan w:val="3"/>
            <w:tcBorders>
              <w:top w:val="nil"/>
              <w:left w:val="nil"/>
              <w:bottom w:val="nil"/>
              <w:right w:val="nil"/>
            </w:tcBorders>
            <w:shd w:val="clear" w:color="auto" w:fill="FFFFFF"/>
          </w:tcPr>
          <w:p w:rsidR="0062591D" w:rsidRDefault="0062591D" w:rsidP="00565F7B">
            <w:pPr>
              <w:jc w:val="center"/>
              <w:rPr>
                <w:b/>
                <w:bCs/>
                <w:sz w:val="32"/>
                <w:szCs w:val="32"/>
              </w:rPr>
            </w:pPr>
          </w:p>
        </w:tc>
        <w:tc>
          <w:tcPr>
            <w:tcW w:w="14542" w:type="dxa"/>
            <w:gridSpan w:val="19"/>
            <w:tcBorders>
              <w:top w:val="nil"/>
              <w:left w:val="nil"/>
              <w:bottom w:val="nil"/>
              <w:right w:val="nil"/>
            </w:tcBorders>
            <w:shd w:val="clear" w:color="auto" w:fill="FFFFFF"/>
            <w:vAlign w:val="center"/>
          </w:tcPr>
          <w:p w:rsidR="0062591D" w:rsidRPr="00AC722C" w:rsidRDefault="0062591D" w:rsidP="00565F7B">
            <w:pPr>
              <w:jc w:val="center"/>
              <w:rPr>
                <w:b/>
                <w:bCs/>
                <w:sz w:val="32"/>
                <w:szCs w:val="32"/>
              </w:rPr>
            </w:pPr>
            <w:r w:rsidRPr="00AC722C">
              <w:rPr>
                <w:b/>
                <w:bCs/>
                <w:sz w:val="32"/>
                <w:szCs w:val="32"/>
              </w:rPr>
              <w:t>KRAŠTO APSAUGOS MINISTERIJA</w:t>
            </w:r>
          </w:p>
        </w:tc>
      </w:tr>
      <w:tr w:rsidR="0062591D" w:rsidTr="00565F7B">
        <w:trPr>
          <w:gridAfter w:val="1"/>
          <w:wAfter w:w="4780" w:type="dxa"/>
          <w:trHeight w:val="255"/>
        </w:trPr>
        <w:tc>
          <w:tcPr>
            <w:tcW w:w="776" w:type="dxa"/>
            <w:gridSpan w:val="2"/>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1195" w:type="dxa"/>
            <w:gridSpan w:val="2"/>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4847" w:type="dxa"/>
            <w:gridSpan w:val="5"/>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1296" w:type="dxa"/>
            <w:gridSpan w:val="3"/>
            <w:tcBorders>
              <w:top w:val="nil"/>
              <w:left w:val="nil"/>
              <w:bottom w:val="nil"/>
              <w:right w:val="nil"/>
            </w:tcBorders>
            <w:shd w:val="clear" w:color="auto" w:fill="FFFFFF"/>
          </w:tcPr>
          <w:p w:rsidR="0062591D" w:rsidRPr="00AC722C" w:rsidRDefault="0062591D" w:rsidP="00565F7B">
            <w:pPr>
              <w:jc w:val="center"/>
              <w:rPr>
                <w:b/>
                <w:bCs/>
              </w:rPr>
            </w:pPr>
          </w:p>
        </w:tc>
        <w:tc>
          <w:tcPr>
            <w:tcW w:w="2316" w:type="dxa"/>
            <w:gridSpan w:val="2"/>
            <w:tcBorders>
              <w:top w:val="nil"/>
              <w:left w:val="nil"/>
              <w:bottom w:val="nil"/>
              <w:right w:val="nil"/>
            </w:tcBorders>
            <w:shd w:val="clear" w:color="auto" w:fill="FFFFFF"/>
            <w:vAlign w:val="center"/>
          </w:tcPr>
          <w:p w:rsidR="0062591D" w:rsidRPr="00AC722C" w:rsidRDefault="0062591D" w:rsidP="00565F7B">
            <w:pPr>
              <w:jc w:val="center"/>
              <w:rPr>
                <w:b/>
                <w:bCs/>
              </w:rPr>
            </w:pPr>
            <w:r w:rsidRPr="00AC722C">
              <w:rPr>
                <w:b/>
                <w:bCs/>
              </w:rPr>
              <w:t> </w:t>
            </w:r>
          </w:p>
        </w:tc>
        <w:tc>
          <w:tcPr>
            <w:tcW w:w="1273" w:type="dxa"/>
            <w:gridSpan w:val="2"/>
            <w:tcBorders>
              <w:top w:val="nil"/>
              <w:left w:val="nil"/>
              <w:bottom w:val="nil"/>
              <w:right w:val="nil"/>
            </w:tcBorders>
            <w:shd w:val="clear" w:color="auto" w:fill="FFFFFF"/>
            <w:vAlign w:val="center"/>
          </w:tcPr>
          <w:p w:rsidR="0062591D" w:rsidRPr="008A51EA" w:rsidRDefault="0062591D" w:rsidP="00565F7B">
            <w:pPr>
              <w:jc w:val="center"/>
              <w:rPr>
                <w:b/>
                <w:bCs/>
                <w:color w:val="FF0000"/>
              </w:rPr>
            </w:pPr>
            <w:r w:rsidRPr="008A51EA">
              <w:rPr>
                <w:b/>
                <w:bCs/>
                <w:color w:val="FF0000"/>
              </w:rPr>
              <w:t> </w:t>
            </w:r>
          </w:p>
        </w:tc>
        <w:tc>
          <w:tcPr>
            <w:tcW w:w="1055" w:type="dxa"/>
            <w:tcBorders>
              <w:top w:val="nil"/>
              <w:left w:val="nil"/>
              <w:bottom w:val="nil"/>
              <w:right w:val="nil"/>
            </w:tcBorders>
            <w:shd w:val="clear" w:color="auto" w:fill="FFFFFF"/>
            <w:vAlign w:val="center"/>
          </w:tcPr>
          <w:p w:rsidR="0062591D" w:rsidRPr="008A51EA" w:rsidRDefault="0062591D" w:rsidP="00565F7B">
            <w:pPr>
              <w:jc w:val="center"/>
              <w:rPr>
                <w:b/>
                <w:bCs/>
                <w:color w:val="FF0000"/>
              </w:rPr>
            </w:pPr>
            <w:r w:rsidRPr="008A51EA">
              <w:rPr>
                <w:b/>
                <w:bCs/>
                <w:color w:val="FF0000"/>
              </w:rPr>
              <w:t> </w:t>
            </w:r>
          </w:p>
        </w:tc>
        <w:tc>
          <w:tcPr>
            <w:tcW w:w="1540" w:type="dxa"/>
            <w:tcBorders>
              <w:top w:val="nil"/>
              <w:left w:val="nil"/>
              <w:bottom w:val="nil"/>
              <w:right w:val="nil"/>
            </w:tcBorders>
            <w:shd w:val="clear" w:color="auto" w:fill="FFFFFF"/>
            <w:vAlign w:val="center"/>
          </w:tcPr>
          <w:p w:rsidR="0062591D" w:rsidRPr="008A51EA" w:rsidRDefault="0062591D" w:rsidP="00565F7B">
            <w:pPr>
              <w:jc w:val="center"/>
              <w:rPr>
                <w:b/>
                <w:bCs/>
                <w:color w:val="FF0000"/>
              </w:rPr>
            </w:pPr>
            <w:r w:rsidRPr="008A51EA">
              <w:rPr>
                <w:b/>
                <w:bCs/>
                <w:color w:val="FF0000"/>
              </w:rPr>
              <w:t> </w:t>
            </w:r>
          </w:p>
        </w:tc>
        <w:tc>
          <w:tcPr>
            <w:tcW w:w="870" w:type="dxa"/>
            <w:gridSpan w:val="2"/>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788" w:type="dxa"/>
            <w:gridSpan w:val="3"/>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r>
      <w:tr w:rsidR="0062591D" w:rsidTr="00565F7B">
        <w:trPr>
          <w:gridAfter w:val="4"/>
          <w:wAfter w:w="5568" w:type="dxa"/>
          <w:trHeight w:val="315"/>
        </w:trPr>
        <w:tc>
          <w:tcPr>
            <w:tcW w:w="1296" w:type="dxa"/>
            <w:gridSpan w:val="3"/>
            <w:tcBorders>
              <w:top w:val="nil"/>
              <w:left w:val="nil"/>
              <w:bottom w:val="nil"/>
              <w:right w:val="nil"/>
            </w:tcBorders>
            <w:shd w:val="clear" w:color="auto" w:fill="FFFFFF"/>
          </w:tcPr>
          <w:p w:rsidR="0062591D" w:rsidRDefault="0062591D" w:rsidP="00565F7B">
            <w:pPr>
              <w:jc w:val="center"/>
              <w:rPr>
                <w:b/>
                <w:bCs/>
              </w:rPr>
            </w:pPr>
          </w:p>
        </w:tc>
        <w:tc>
          <w:tcPr>
            <w:tcW w:w="13872" w:type="dxa"/>
            <w:gridSpan w:val="17"/>
            <w:tcBorders>
              <w:top w:val="nil"/>
              <w:left w:val="nil"/>
              <w:bottom w:val="nil"/>
              <w:right w:val="nil"/>
            </w:tcBorders>
            <w:shd w:val="clear" w:color="auto" w:fill="FFFFFF"/>
            <w:noWrap/>
            <w:vAlign w:val="center"/>
          </w:tcPr>
          <w:p w:rsidR="0062591D" w:rsidRPr="00AC722C" w:rsidRDefault="0062591D" w:rsidP="00565F7B">
            <w:pPr>
              <w:jc w:val="center"/>
              <w:rPr>
                <w:b/>
                <w:bCs/>
              </w:rPr>
            </w:pPr>
            <w:r w:rsidRPr="00AC722C">
              <w:rPr>
                <w:b/>
                <w:bCs/>
              </w:rPr>
              <w:t>INFORMACIJA APIE KONTROLIUOJAMUS, ASOCIJUOTUOSIUS IR KITUS SUBJEKTUS *</w:t>
            </w:r>
          </w:p>
        </w:tc>
      </w:tr>
      <w:tr w:rsidR="0062591D" w:rsidTr="00565F7B">
        <w:trPr>
          <w:gridAfter w:val="4"/>
          <w:wAfter w:w="5568" w:type="dxa"/>
          <w:trHeight w:val="255"/>
        </w:trPr>
        <w:tc>
          <w:tcPr>
            <w:tcW w:w="616"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b/>
                <w:bCs/>
                <w:sz w:val="20"/>
                <w:szCs w:val="20"/>
              </w:rPr>
            </w:pPr>
            <w:r>
              <w:rPr>
                <w:rFonts w:ascii="Arial" w:hAnsi="Arial" w:cs="Arial"/>
                <w:b/>
                <w:bCs/>
                <w:sz w:val="20"/>
                <w:szCs w:val="20"/>
              </w:rPr>
              <w:t> </w:t>
            </w:r>
          </w:p>
        </w:tc>
        <w:tc>
          <w:tcPr>
            <w:tcW w:w="1355" w:type="dxa"/>
            <w:gridSpan w:val="3"/>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5"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3267" w:type="dxa"/>
            <w:gridSpan w:val="4"/>
            <w:tcBorders>
              <w:top w:val="nil"/>
              <w:left w:val="nil"/>
              <w:bottom w:val="single" w:sz="4" w:space="0" w:color="auto"/>
              <w:right w:val="nil"/>
            </w:tcBorders>
            <w:shd w:val="clear" w:color="auto" w:fill="FFFFFF"/>
          </w:tcPr>
          <w:p w:rsidR="0062591D" w:rsidRDefault="0062591D" w:rsidP="00565F7B">
            <w:pPr>
              <w:rPr>
                <w:rFonts w:ascii="Arial" w:hAnsi="Arial" w:cs="Arial"/>
                <w:sz w:val="20"/>
                <w:szCs w:val="20"/>
              </w:rPr>
            </w:pPr>
          </w:p>
        </w:tc>
        <w:tc>
          <w:tcPr>
            <w:tcW w:w="4467" w:type="dxa"/>
            <w:gridSpan w:val="6"/>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598"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r>
      <w:tr w:rsidR="0062591D" w:rsidTr="0050298B">
        <w:trPr>
          <w:gridAfter w:val="4"/>
          <w:wAfter w:w="5568" w:type="dxa"/>
          <w:trHeight w:val="51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Eil. Nr.    **</w:t>
            </w:r>
          </w:p>
        </w:tc>
        <w:tc>
          <w:tcPr>
            <w:tcW w:w="207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rPr>
                <w:b/>
                <w:bCs/>
                <w:sz w:val="20"/>
                <w:szCs w:val="20"/>
              </w:rPr>
            </w:pPr>
            <w:r>
              <w:rPr>
                <w:b/>
                <w:bCs/>
                <w:sz w:val="20"/>
                <w:szCs w:val="20"/>
              </w:rPr>
              <w:t>Subjekto tipas ir pavadinimas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Buveinės adresas</w:t>
            </w:r>
          </w:p>
        </w:tc>
        <w:tc>
          <w:tcPr>
            <w:tcW w:w="6980" w:type="dxa"/>
            <w:gridSpan w:val="9"/>
            <w:tcBorders>
              <w:top w:val="single" w:sz="4" w:space="0" w:color="auto"/>
              <w:left w:val="single" w:sz="4" w:space="0" w:color="auto"/>
              <w:bottom w:val="single" w:sz="4" w:space="0" w:color="auto"/>
              <w:right w:val="single" w:sz="4" w:space="0" w:color="auto"/>
            </w:tcBorders>
          </w:tcPr>
          <w:p w:rsidR="0062591D" w:rsidRDefault="0062591D" w:rsidP="00565F7B">
            <w:pPr>
              <w:jc w:val="center"/>
              <w:rPr>
                <w:b/>
                <w:bCs/>
                <w:sz w:val="20"/>
                <w:szCs w:val="20"/>
              </w:rPr>
            </w:pPr>
            <w:r>
              <w:rPr>
                <w:b/>
                <w:bCs/>
                <w:sz w:val="20"/>
                <w:szCs w:val="20"/>
              </w:rPr>
              <w:t>Ataskaitinio laikotarpio pabaigoje</w:t>
            </w:r>
            <w:r w:rsidR="00C2330F">
              <w:rPr>
                <w:b/>
                <w:bCs/>
                <w:sz w:val="20"/>
                <w:szCs w:val="20"/>
              </w:rPr>
              <w:t xml:space="preserve"> (202</w:t>
            </w:r>
            <w:r w:rsidR="00AD2D95">
              <w:rPr>
                <w:b/>
                <w:bCs/>
                <w:sz w:val="20"/>
                <w:szCs w:val="20"/>
              </w:rPr>
              <w:t>4</w:t>
            </w:r>
            <w:r w:rsidR="00C2330F">
              <w:rPr>
                <w:b/>
                <w:bCs/>
                <w:sz w:val="20"/>
                <w:szCs w:val="20"/>
              </w:rPr>
              <w:t>-0</w:t>
            </w:r>
            <w:r w:rsidR="0081528A">
              <w:rPr>
                <w:b/>
                <w:bCs/>
                <w:sz w:val="20"/>
                <w:szCs w:val="20"/>
              </w:rPr>
              <w:t>9</w:t>
            </w:r>
            <w:r w:rsidR="00C2330F">
              <w:rPr>
                <w:b/>
                <w:bCs/>
                <w:sz w:val="20"/>
                <w:szCs w:val="20"/>
              </w:rPr>
              <w:t>-3</w:t>
            </w:r>
            <w:r w:rsidR="008D2EF4">
              <w:rPr>
                <w:b/>
                <w:bCs/>
                <w:sz w:val="20"/>
                <w:szCs w:val="20"/>
              </w:rPr>
              <w:t>0</w:t>
            </w:r>
            <w:r w:rsidR="00C2330F">
              <w:rPr>
                <w:b/>
                <w:bCs/>
                <w:sz w:val="20"/>
                <w:szCs w:val="20"/>
              </w:rPr>
              <w:t>)</w:t>
            </w:r>
          </w:p>
          <w:p w:rsidR="00C2330F" w:rsidRDefault="00C2330F" w:rsidP="00565F7B">
            <w:pPr>
              <w:jc w:val="center"/>
              <w:rPr>
                <w:b/>
                <w:bCs/>
                <w:sz w:val="20"/>
                <w:szCs w:val="20"/>
              </w:rPr>
            </w:pPr>
          </w:p>
        </w:tc>
        <w:tc>
          <w:tcPr>
            <w:tcW w:w="4219"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Default="0062591D" w:rsidP="00565F7B">
            <w:pPr>
              <w:jc w:val="center"/>
              <w:rPr>
                <w:b/>
                <w:bCs/>
                <w:sz w:val="20"/>
                <w:szCs w:val="20"/>
              </w:rPr>
            </w:pPr>
            <w:r>
              <w:rPr>
                <w:b/>
                <w:bCs/>
                <w:sz w:val="20"/>
                <w:szCs w:val="20"/>
              </w:rPr>
              <w:t>Pagrindinė veikla</w:t>
            </w:r>
          </w:p>
        </w:tc>
      </w:tr>
      <w:tr w:rsidR="0062591D" w:rsidTr="0050298B">
        <w:trPr>
          <w:gridAfter w:val="4"/>
          <w:wAfter w:w="5568" w:type="dxa"/>
          <w:trHeight w:val="982"/>
        </w:trPr>
        <w:tc>
          <w:tcPr>
            <w:tcW w:w="616" w:type="dxa"/>
            <w:vMerge/>
            <w:tcBorders>
              <w:top w:val="single" w:sz="4" w:space="0" w:color="auto"/>
              <w:left w:val="single" w:sz="4" w:space="0" w:color="auto"/>
              <w:bottom w:val="single" w:sz="4" w:space="0" w:color="auto"/>
              <w:right w:val="single" w:sz="4" w:space="0" w:color="auto"/>
            </w:tcBorders>
            <w:vAlign w:val="center"/>
          </w:tcPr>
          <w:p w:rsidR="0062591D" w:rsidRDefault="0062591D" w:rsidP="00565F7B">
            <w:pPr>
              <w:rPr>
                <w:b/>
                <w:bCs/>
                <w:sz w:val="20"/>
                <w:szCs w:val="20"/>
              </w:rPr>
            </w:pPr>
          </w:p>
        </w:tc>
        <w:tc>
          <w:tcPr>
            <w:tcW w:w="2078" w:type="dxa"/>
            <w:gridSpan w:val="4"/>
            <w:vMerge/>
            <w:tcBorders>
              <w:top w:val="single" w:sz="4" w:space="0" w:color="auto"/>
              <w:left w:val="single" w:sz="4" w:space="0" w:color="auto"/>
              <w:bottom w:val="single" w:sz="4" w:space="0" w:color="auto"/>
              <w:right w:val="single" w:sz="4" w:space="0" w:color="auto"/>
            </w:tcBorders>
            <w:vAlign w:val="center"/>
          </w:tcPr>
          <w:p w:rsidR="0062591D" w:rsidRDefault="0062591D" w:rsidP="00565F7B">
            <w:pPr>
              <w:rPr>
                <w:b/>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2591D" w:rsidRDefault="0062591D" w:rsidP="00565F7B">
            <w:pPr>
              <w:rPr>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Valdomų akcijų (dalininko įnašų) dalis (procentais)</w:t>
            </w:r>
          </w:p>
        </w:tc>
        <w:tc>
          <w:tcPr>
            <w:tcW w:w="1168" w:type="dxa"/>
            <w:tcBorders>
              <w:top w:val="single" w:sz="4" w:space="0" w:color="auto"/>
              <w:left w:val="nil"/>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Investicijos dydis nominaliąja verte (</w:t>
            </w:r>
            <w:proofErr w:type="spellStart"/>
            <w:r>
              <w:rPr>
                <w:b/>
                <w:bCs/>
                <w:sz w:val="20"/>
                <w:szCs w:val="20"/>
              </w:rPr>
              <w:t>Eur</w:t>
            </w:r>
            <w:proofErr w:type="spellEnd"/>
            <w:r>
              <w:rPr>
                <w:b/>
                <w:bCs/>
                <w:sz w:val="20"/>
                <w:szCs w:val="20"/>
              </w:rPr>
              <w:t>)</w:t>
            </w:r>
          </w:p>
        </w:tc>
        <w:tc>
          <w:tcPr>
            <w:tcW w:w="1242" w:type="dxa"/>
            <w:gridSpan w:val="3"/>
            <w:tcBorders>
              <w:top w:val="single" w:sz="4" w:space="0" w:color="auto"/>
              <w:left w:val="nil"/>
              <w:bottom w:val="single" w:sz="4" w:space="0" w:color="auto"/>
              <w:right w:val="single" w:sz="4" w:space="0" w:color="auto"/>
            </w:tcBorders>
          </w:tcPr>
          <w:p w:rsidR="0062591D" w:rsidRDefault="0062591D" w:rsidP="00565F7B">
            <w:pPr>
              <w:jc w:val="center"/>
              <w:rPr>
                <w:b/>
                <w:bCs/>
                <w:sz w:val="20"/>
                <w:szCs w:val="20"/>
              </w:rPr>
            </w:pPr>
          </w:p>
          <w:p w:rsidR="0062591D" w:rsidRDefault="0062591D" w:rsidP="00565F7B">
            <w:pPr>
              <w:jc w:val="center"/>
              <w:rPr>
                <w:b/>
                <w:bCs/>
                <w:sz w:val="20"/>
                <w:szCs w:val="20"/>
              </w:rPr>
            </w:pPr>
            <w:r w:rsidRPr="006A0E79">
              <w:rPr>
                <w:b/>
                <w:bCs/>
                <w:sz w:val="20"/>
                <w:szCs w:val="20"/>
              </w:rPr>
              <w:t>Dotacijų balansinė vertė</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Grynasis ataskaitinio laikotarpio rezultatas, iš viso (</w:t>
            </w:r>
            <w:proofErr w:type="spellStart"/>
            <w:r>
              <w:rPr>
                <w:b/>
                <w:bCs/>
                <w:sz w:val="20"/>
                <w:szCs w:val="20"/>
              </w:rPr>
              <w:t>Eur</w:t>
            </w:r>
            <w:proofErr w:type="spellEnd"/>
            <w:r>
              <w:rPr>
                <w:b/>
                <w:bCs/>
                <w:sz w:val="20"/>
                <w:szCs w:val="20"/>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Nuosavas kapitalas arba grynasis turtas, iš viso (</w:t>
            </w:r>
            <w:proofErr w:type="spellStart"/>
            <w:r>
              <w:rPr>
                <w:b/>
                <w:bCs/>
                <w:sz w:val="20"/>
                <w:szCs w:val="20"/>
              </w:rPr>
              <w:t>Eur</w:t>
            </w:r>
            <w:proofErr w:type="spellEnd"/>
            <w:r>
              <w:rPr>
                <w:b/>
                <w:bCs/>
                <w:sz w:val="20"/>
                <w:szCs w:val="20"/>
              </w:rPr>
              <w:t>)</w:t>
            </w:r>
          </w:p>
        </w:tc>
        <w:tc>
          <w:tcPr>
            <w:tcW w:w="4219" w:type="dxa"/>
            <w:gridSpan w:val="5"/>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2591D" w:rsidRDefault="0062591D" w:rsidP="00565F7B">
            <w:pPr>
              <w:rPr>
                <w:b/>
                <w:bCs/>
                <w:sz w:val="20"/>
                <w:szCs w:val="20"/>
              </w:rPr>
            </w:pPr>
          </w:p>
        </w:tc>
      </w:tr>
      <w:tr w:rsidR="0062591D" w:rsidTr="0050298B">
        <w:trPr>
          <w:gridAfter w:val="4"/>
          <w:wAfter w:w="5568" w:type="dxa"/>
          <w:trHeight w:val="25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1</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C01E5D">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5</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Default="0062591D" w:rsidP="00565F7B">
            <w:pPr>
              <w:jc w:val="center"/>
              <w:rPr>
                <w:sz w:val="20"/>
                <w:szCs w:val="20"/>
              </w:rPr>
            </w:pPr>
            <w:r>
              <w:rPr>
                <w:sz w:val="20"/>
                <w:szCs w:val="20"/>
              </w:rPr>
              <w:t>6</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8</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Default="0062591D" w:rsidP="00565F7B">
            <w:pPr>
              <w:jc w:val="center"/>
              <w:rPr>
                <w:sz w:val="20"/>
                <w:szCs w:val="20"/>
              </w:rPr>
            </w:pPr>
            <w:r>
              <w:rPr>
                <w:sz w:val="20"/>
                <w:szCs w:val="20"/>
              </w:rPr>
              <w:t>9</w:t>
            </w:r>
          </w:p>
        </w:tc>
      </w:tr>
      <w:tr w:rsidR="0062591D" w:rsidRPr="00AF5EF1" w:rsidTr="0050298B">
        <w:trPr>
          <w:gridAfter w:val="4"/>
          <w:wAfter w:w="5568" w:type="dxa"/>
          <w:trHeight w:val="25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b/>
                <w:bCs/>
                <w:sz w:val="20"/>
                <w:szCs w:val="20"/>
              </w:rPr>
            </w:pPr>
            <w:r w:rsidRPr="00AF5EF1">
              <w:rPr>
                <w:b/>
                <w:bCs/>
                <w:sz w:val="20"/>
                <w:szCs w:val="20"/>
              </w:rPr>
              <w:t>1.</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b/>
                <w:bCs/>
                <w:sz w:val="22"/>
                <w:szCs w:val="22"/>
              </w:rPr>
            </w:pPr>
            <w:r w:rsidRPr="00AF5EF1">
              <w:rPr>
                <w:b/>
                <w:bCs/>
                <w:sz w:val="22"/>
                <w:szCs w:val="22"/>
              </w:rPr>
              <w:t>Kontroliuojamos biudžetinės įstaigos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b/>
                <w:bCs/>
              </w:rPr>
            </w:pPr>
            <w:r w:rsidRPr="00AF5EF1">
              <w:rPr>
                <w:b/>
                <w:bC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rPr>
                <w:b/>
                <w:bCs/>
              </w:rPr>
            </w:pPr>
            <w:r w:rsidRPr="00AF5EF1">
              <w:rPr>
                <w:b/>
                <w:bCs/>
              </w:rPr>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rPr>
                <w:b/>
                <w:bCs/>
              </w:rPr>
            </w:pPr>
            <w:r w:rsidRPr="00AF5EF1">
              <w:rPr>
                <w:b/>
                <w:bCs/>
              </w:rPr>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rPr>
                <w:b/>
                <w:bCs/>
              </w:rPr>
            </w:pPr>
            <w:r w:rsidRPr="000533C5">
              <w:rPr>
                <w:b/>
                <w:bCs/>
              </w:rPr>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D84536" w:rsidRDefault="00C06716" w:rsidP="00215A30">
            <w:pPr>
              <w:jc w:val="center"/>
              <w:rPr>
                <w:b/>
                <w:bCs/>
              </w:rPr>
            </w:pPr>
            <w:r>
              <w:rPr>
                <w:b/>
                <w:bCs/>
              </w:rPr>
              <w:t>9628078,22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66BC" w:rsidRPr="00D84536" w:rsidRDefault="00C06716" w:rsidP="00A676DB">
            <w:pPr>
              <w:jc w:val="center"/>
              <w:rPr>
                <w:b/>
                <w:bCs/>
              </w:rPr>
            </w:pPr>
            <w:r>
              <w:rPr>
                <w:b/>
                <w:bCs/>
              </w:rPr>
              <w:t>64663935,97</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C01E5D" w:rsidRDefault="0062591D" w:rsidP="00565F7B">
            <w:pPr>
              <w:rPr>
                <w:b/>
                <w:bCs/>
              </w:rPr>
            </w:pPr>
          </w:p>
          <w:p w:rsidR="0062591D" w:rsidRPr="00C01E5D" w:rsidRDefault="0062591D" w:rsidP="00565F7B">
            <w:pPr>
              <w:rPr>
                <w:b/>
                <w:bCs/>
                <w:sz w:val="28"/>
                <w:szCs w:val="28"/>
              </w:rPr>
            </w:pPr>
          </w:p>
        </w:tc>
      </w:tr>
      <w:tr w:rsidR="0062591D" w:rsidRPr="00AF5EF1" w:rsidTr="0050298B">
        <w:trPr>
          <w:gridAfter w:val="4"/>
          <w:wAfter w:w="5568" w:type="dxa"/>
          <w:trHeight w:val="1164"/>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1.1.</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565F7B">
            <w:r w:rsidRPr="00AF5EF1">
              <w:t xml:space="preserve">Lietuvos kariuomenė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Šv. Ignoto g. 8/29,</w:t>
            </w:r>
          </w:p>
          <w:p w:rsidR="0062591D" w:rsidRPr="00AF5EF1" w:rsidRDefault="0062591D" w:rsidP="00565F7B">
            <w:pPr>
              <w:jc w:val="center"/>
            </w:pPr>
            <w:r w:rsidRPr="00AF5EF1">
              <w:t>LT-01121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rPr>
                <w:bCs/>
              </w:rP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837" w:rsidRPr="00FC0EDA" w:rsidRDefault="0081528A" w:rsidP="00562FCE">
            <w:pPr>
              <w:jc w:val="center"/>
              <w:rPr>
                <w:bCs/>
                <w:color w:val="000000" w:themeColor="text1"/>
              </w:rPr>
            </w:pPr>
            <w:r>
              <w:rPr>
                <w:bCs/>
                <w:color w:val="000000" w:themeColor="text1"/>
              </w:rPr>
              <w:t>106469,95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0EDA" w:rsidRPr="00FC0EDA" w:rsidRDefault="0081528A" w:rsidP="00562FCE">
            <w:pPr>
              <w:jc w:val="center"/>
              <w:rPr>
                <w:bCs/>
                <w:color w:val="000000" w:themeColor="text1"/>
              </w:rPr>
            </w:pPr>
            <w:r>
              <w:rPr>
                <w:bCs/>
                <w:color w:val="000000" w:themeColor="text1"/>
              </w:rPr>
              <w:t>30476294,37</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565F7B">
            <w:pPr>
              <w:jc w:val="both"/>
            </w:pPr>
            <w:r w:rsidRPr="003368DC">
              <w:t xml:space="preserve">    </w:t>
            </w:r>
            <w:bookmarkStart w:id="1" w:name="part_0c5e871f4ade467a9f9bec47abe5b6a7"/>
            <w:bookmarkStart w:id="2" w:name="part_b0c66b6a5cd94099be528caf65f12e9c"/>
            <w:bookmarkStart w:id="3" w:name="part_1cc5685e25ad4d178ff7c9caa55b05bd"/>
            <w:bookmarkStart w:id="4" w:name="part_642b2fae8dd9467c8f56e8efa9001d4b"/>
            <w:bookmarkStart w:id="5" w:name="part_09cba79e1123473089e22def3aee93ee"/>
            <w:bookmarkEnd w:id="1"/>
            <w:bookmarkEnd w:id="2"/>
            <w:bookmarkEnd w:id="3"/>
            <w:bookmarkEnd w:id="4"/>
            <w:bookmarkEnd w:id="5"/>
            <w:r w:rsidR="00351C6A" w:rsidRPr="003368DC">
              <w:t xml:space="preserve">        </w:t>
            </w:r>
            <w:r w:rsidR="0062591D" w:rsidRPr="003368DC">
              <w:t xml:space="preserve">Ginkluotos gynybos nuo agresijos (karo) metu savarankiškai ir kartu su sąjungininkių ginkluotosiomis pajėgomis ginklu ginti Lietuvos valstybę ir kitas valstybes sąjungininkes. </w:t>
            </w:r>
          </w:p>
          <w:p w:rsidR="0062591D" w:rsidRPr="003368DC" w:rsidRDefault="0062591D" w:rsidP="00351C6A">
            <w:pPr>
              <w:jc w:val="both"/>
            </w:pPr>
            <w:r w:rsidRPr="003368DC">
              <w:t>Taikos metu: saugoti valstybės teritoriją (įskaitant oro erdvės ir teritorinės jūros stebėjimą, kontrolę ir gynybą) ir karines teritorijas, taip pat bendradarbiaujant su kitomis valstybės institucijomis stebėti ir kontroliuoti išskirtinę ekonominę zoną ir kontinentinį šelfą,</w:t>
            </w:r>
            <w:r w:rsidRPr="003368DC">
              <w:rPr>
                <w:bCs/>
              </w:rPr>
              <w:t xml:space="preserve"> palaikyti kovinę parengtį, rengtis tarptautinėms operacijoms ir jose dalyvauti, </w:t>
            </w:r>
            <w:r w:rsidRPr="003368DC">
              <w:t xml:space="preserve">organizuoti, koordinuoti žmonių paieškos ir gelbėjimo, teršimo incidentų likvidavimo darbus, jiems vadovauti ir juos vykdyti, teikti pagalbą </w:t>
            </w:r>
            <w:r w:rsidRPr="003368DC">
              <w:lastRenderedPageBreak/>
              <w:t>kitoms valstybės ir savivaldybių institucijoms</w:t>
            </w:r>
            <w:r w:rsidR="00351C6A" w:rsidRPr="003368DC">
              <w:t xml:space="preserve"> administruoti karo prievolę.</w:t>
            </w:r>
          </w:p>
        </w:tc>
      </w:tr>
      <w:tr w:rsidR="0062591D" w:rsidRPr="00AF5EF1" w:rsidTr="0050298B">
        <w:trPr>
          <w:gridAfter w:val="4"/>
          <w:wAfter w:w="5568" w:type="dxa"/>
          <w:trHeight w:val="67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1.2.</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r w:rsidRPr="00AF5EF1">
              <w:t>Centralizuota finansų ir turto tarnyba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Šv. Ignoto g. 8/29,</w:t>
            </w:r>
          </w:p>
          <w:p w:rsidR="0062591D" w:rsidRPr="00AF5EF1" w:rsidRDefault="0062591D" w:rsidP="00565F7B">
            <w:pPr>
              <w:jc w:val="center"/>
            </w:pPr>
            <w:r w:rsidRPr="00AF5EF1">
              <w:t>LT-01120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rPr>
                <w:bCs/>
              </w:rP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rPr>
                <w:bCs/>
              </w:rPr>
            </w:pPr>
            <w:r w:rsidRPr="00EE66BC">
              <w:rPr>
                <w:bCs/>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rPr>
                <w:bCs/>
              </w:rPr>
            </w:pPr>
            <w:r w:rsidRPr="00EE66BC">
              <w:rPr>
                <w:bCs/>
              </w:rPr>
              <w:t>0,0</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24258" w:rsidRPr="00724258" w:rsidRDefault="00724258" w:rsidP="00724258">
            <w:pPr>
              <w:pStyle w:val="BodyTextIndent3"/>
              <w:ind w:left="0" w:firstLine="360"/>
              <w:jc w:val="both"/>
              <w:rPr>
                <w:sz w:val="24"/>
                <w:szCs w:val="24"/>
              </w:rPr>
            </w:pPr>
            <w:r w:rsidRPr="00724258">
              <w:rPr>
                <w:sz w:val="24"/>
                <w:szCs w:val="24"/>
              </w:rPr>
              <w:t xml:space="preserve">Užtikrinti finansinės apskaitos organizavimą, tvarkymą bei vykdymą vadovaujantis Finansinės apskaitos įstatymo ir kitų finansinę apskaitą reglamentuojančių teisės aktų nuostatomis įgyvendinant krašto apsaugos ministrui pavaldžių ir krašto apsaugos ministro įsakymais pavestų biudžetinių įstaigų, turinčių juridinio asmens statusą, teises ir pareigas, taip pat </w:t>
            </w:r>
            <w:r w:rsidR="00377E76">
              <w:rPr>
                <w:sz w:val="24"/>
                <w:szCs w:val="24"/>
              </w:rPr>
              <w:t>Krašto apsaugos m</w:t>
            </w:r>
            <w:r w:rsidRPr="00724258">
              <w:rPr>
                <w:sz w:val="24"/>
                <w:szCs w:val="24"/>
              </w:rPr>
              <w:t>inisterijos finansinę apskaitą; rengti CFTT prie KAM valstybės biudžeto programų sąmatų projektus ir programų sąmatas ir užtikrinti jų atitiktį krašto apsaugos sistemos planavimo vadove nustatytiems uždaviniams ir prioritetams</w:t>
            </w:r>
            <w:r>
              <w:rPr>
                <w:sz w:val="24"/>
                <w:szCs w:val="24"/>
              </w:rPr>
              <w:t>.</w:t>
            </w:r>
          </w:p>
          <w:p w:rsidR="0062591D" w:rsidRPr="003368DC" w:rsidRDefault="0062591D" w:rsidP="00724258">
            <w:pPr>
              <w:pStyle w:val="BodyTextIndent3"/>
              <w:ind w:left="0" w:firstLine="360"/>
              <w:jc w:val="both"/>
              <w:rPr>
                <w:sz w:val="24"/>
                <w:szCs w:val="24"/>
              </w:rPr>
            </w:pPr>
          </w:p>
        </w:tc>
      </w:tr>
      <w:tr w:rsidR="0062591D" w:rsidRPr="00AF5EF1" w:rsidTr="0050298B">
        <w:trPr>
          <w:gridAfter w:val="4"/>
          <w:wAfter w:w="5568" w:type="dxa"/>
          <w:trHeight w:val="54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1.3.</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C47906">
            <w:r w:rsidRPr="00AF5EF1">
              <w:t xml:space="preserve">Krašto apsaugos ministerijos </w:t>
            </w:r>
            <w:r w:rsidR="00C47906">
              <w:t>b</w:t>
            </w:r>
            <w:r w:rsidRPr="00AF5EF1">
              <w:t>endrųjų reikalų departamentas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Totorių g.</w:t>
            </w:r>
            <w:r w:rsidR="009F6E3E">
              <w:t xml:space="preserve"> </w:t>
            </w:r>
            <w:r w:rsidRPr="00AF5EF1">
              <w:t>25 LT – 01121</w:t>
            </w:r>
          </w:p>
          <w:p w:rsidR="0062591D" w:rsidRPr="00AF5EF1" w:rsidRDefault="0062591D" w:rsidP="00565F7B">
            <w:pPr>
              <w:jc w:val="center"/>
            </w:pPr>
            <w:r w:rsidRPr="00AF5EF1">
              <w:t>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7B2E5B" w:rsidP="0081528A">
            <w:pPr>
              <w:jc w:val="center"/>
              <w:rPr>
                <w:bCs/>
              </w:rPr>
            </w:pPr>
            <w:r>
              <w:rPr>
                <w:bCs/>
              </w:rPr>
              <w:t>(</w:t>
            </w:r>
            <w:r w:rsidR="008D2EF4">
              <w:rPr>
                <w:bCs/>
              </w:rPr>
              <w:t>1</w:t>
            </w:r>
            <w:r w:rsidR="00EF2AD6">
              <w:rPr>
                <w:bCs/>
              </w:rPr>
              <w:t> </w:t>
            </w:r>
            <w:r w:rsidR="0081528A">
              <w:rPr>
                <w:bCs/>
              </w:rPr>
              <w:t>319,04</w:t>
            </w:r>
            <w:r>
              <w:rPr>
                <w:bCs/>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81528A" w:rsidP="00EF2AD6">
            <w:pPr>
              <w:jc w:val="center"/>
              <w:rPr>
                <w:bCs/>
              </w:rPr>
            </w:pPr>
            <w:r>
              <w:rPr>
                <w:bCs/>
              </w:rPr>
              <w:t>889,32</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B312C1">
            <w:pPr>
              <w:tabs>
                <w:tab w:val="left" w:pos="-108"/>
                <w:tab w:val="left" w:pos="0"/>
              </w:tabs>
              <w:jc w:val="both"/>
              <w:rPr>
                <w:bCs/>
              </w:rPr>
            </w:pPr>
            <w:r w:rsidRPr="003368DC">
              <w:rPr>
                <w:bCs/>
              </w:rPr>
              <w:t xml:space="preserve">      </w:t>
            </w:r>
            <w:r w:rsidR="0062591D" w:rsidRPr="003368DC">
              <w:rPr>
                <w:bCs/>
              </w:rPr>
              <w:t xml:space="preserve">Užtikrinti </w:t>
            </w:r>
            <w:r w:rsidR="008314FA" w:rsidRPr="003368DC">
              <w:rPr>
                <w:bCs/>
              </w:rPr>
              <w:t>M</w:t>
            </w:r>
            <w:r w:rsidR="0062591D" w:rsidRPr="003368DC">
              <w:t xml:space="preserve">inisterijos kanclerio potvarkiu </w:t>
            </w:r>
            <w:r w:rsidR="008314FA" w:rsidRPr="003368DC">
              <w:t>nustatytų</w:t>
            </w:r>
            <w:r w:rsidR="0062591D" w:rsidRPr="003368DC">
              <w:t xml:space="preserve"> </w:t>
            </w:r>
            <w:r w:rsidR="00045256" w:rsidRPr="003368DC">
              <w:t>krašto apsaugos sistemos</w:t>
            </w:r>
            <w:r w:rsidR="0062591D" w:rsidRPr="003368DC">
              <w:t xml:space="preserve"> institucijų</w:t>
            </w:r>
            <w:r w:rsidR="008314FA" w:rsidRPr="003368DC">
              <w:t xml:space="preserve"> (toliau – aptarnaujamos institucijos) </w:t>
            </w:r>
            <w:r w:rsidR="0062591D" w:rsidRPr="003368DC">
              <w:t xml:space="preserve"> statinių (toliau – statiniai)</w:t>
            </w:r>
            <w:r w:rsidR="008314FA" w:rsidRPr="003368DC">
              <w:t xml:space="preserve"> priežiūrą ir remontą</w:t>
            </w:r>
            <w:r w:rsidR="00B312C1" w:rsidRPr="003368DC">
              <w:t>;</w:t>
            </w:r>
            <w:r w:rsidR="0062591D" w:rsidRPr="003368DC">
              <w:t xml:space="preserve"> </w:t>
            </w:r>
            <w:r w:rsidR="008314FA" w:rsidRPr="003368DC">
              <w:t>aptarnaujamų institucijų aprūpinimą funkcijoms vykdyti reikalingu materialiuoju turtu, šio turto apskaitos tvarkymą, priežiūrą, patalpų valymo, teritorijų priežiūros ir kitų Ministerijos kanclerio potvarkiu nustatytų paslaugų teikimą</w:t>
            </w:r>
            <w:r w:rsidR="00B312C1" w:rsidRPr="003368DC">
              <w:t>;</w:t>
            </w:r>
            <w:r w:rsidR="008314FA" w:rsidRPr="003368DC">
              <w:t xml:space="preserve"> aptarnaujamų institucijų aprūpinimą transporto priemonėmis, transporto paslaugų teikimą ir valdomų transporto priemonių tinkamą būklę</w:t>
            </w:r>
            <w:r w:rsidR="00B312C1" w:rsidRPr="003368DC">
              <w:t>;</w:t>
            </w:r>
            <w:r w:rsidR="008314FA" w:rsidRPr="003368DC">
              <w:t xml:space="preserve"> </w:t>
            </w:r>
            <w:r w:rsidR="008314FA" w:rsidRPr="003368DC">
              <w:lastRenderedPageBreak/>
              <w:t>aptarnaujamų institucijų aprūpinimą vaizdine informacija, jų parengtų leidinių maketavimą, nustatytą krašto apsaugos sistemos teisės aktų projektų ir kitų dokumentų administravimą, versti tekstus bei kalbas į lietuvių ir anglų kalbas</w:t>
            </w:r>
            <w:r w:rsidR="00B312C1" w:rsidRPr="003368DC">
              <w:t>; civilinės saugos organizavimą įstaigoje, organizuoti ir užtikrinti darbuotojų saugą ir sveikatą ir priešgaisrinę saugą įstaigoje ir Krašto apsaugos ministerijoje</w:t>
            </w:r>
            <w:r w:rsidR="0062591D" w:rsidRPr="003368DC">
              <w:t>.</w:t>
            </w:r>
          </w:p>
        </w:tc>
      </w:tr>
      <w:tr w:rsidR="0062591D" w:rsidRPr="00AF5EF1" w:rsidTr="0050298B">
        <w:trPr>
          <w:gridAfter w:val="4"/>
          <w:wAfter w:w="5568" w:type="dxa"/>
          <w:trHeight w:val="10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1.4.</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r w:rsidRPr="00AF5EF1">
              <w:t>Informacinių technologijų tarnyba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Šilo g. 5A, LT-10322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BF7316">
            <w:pPr>
              <w:jc w:val="center"/>
              <w:rPr>
                <w:bCs/>
              </w:rPr>
            </w:pPr>
          </w:p>
          <w:p w:rsidR="009E6781" w:rsidRPr="00EE66BC" w:rsidRDefault="0081528A" w:rsidP="00BF7316">
            <w:pPr>
              <w:jc w:val="center"/>
              <w:rPr>
                <w:bCs/>
              </w:rPr>
            </w:pPr>
            <w:r>
              <w:rPr>
                <w:bCs/>
              </w:rPr>
              <w:t>2695,59</w:t>
            </w:r>
          </w:p>
          <w:p w:rsidR="00F31B33" w:rsidRPr="00EE66BC" w:rsidRDefault="00F31B33" w:rsidP="00BF7316">
            <w:pPr>
              <w:jc w:val="center"/>
              <w:rPr>
                <w:bC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47D7" w:rsidRPr="00EE66BC" w:rsidRDefault="00A547D7" w:rsidP="0042071F">
            <w:pPr>
              <w:jc w:val="center"/>
              <w:rPr>
                <w:bCs/>
              </w:rPr>
            </w:pPr>
          </w:p>
          <w:p w:rsidR="00A547D7" w:rsidRPr="00EE66BC" w:rsidRDefault="0081528A" w:rsidP="0042071F">
            <w:pPr>
              <w:jc w:val="center"/>
              <w:rPr>
                <w:bCs/>
              </w:rPr>
            </w:pPr>
            <w:r>
              <w:rPr>
                <w:bCs/>
              </w:rPr>
              <w:t>12558,99</w:t>
            </w:r>
          </w:p>
          <w:p w:rsidR="00F31B33" w:rsidRPr="00EE66BC" w:rsidRDefault="00F31B33" w:rsidP="0042071F">
            <w:pPr>
              <w:jc w:val="center"/>
              <w:rPr>
                <w:bCs/>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A11CB3">
            <w:pPr>
              <w:jc w:val="both"/>
            </w:pPr>
            <w:r w:rsidRPr="003368DC">
              <w:t xml:space="preserve">        </w:t>
            </w:r>
            <w:r w:rsidR="00A842A3" w:rsidRPr="003368DC">
              <w:t xml:space="preserve">Atlikti Nacionalinės šifrų paskirstymo tarnybos funkcijas ir institucijos, užtikrinančios Lietuvos Respublikos įslaptintos informacijos, užsienio valstybių, Europos Sąjungos ir tarptautinių organizacijų Lietuvos Respublikai perduotos įslaptintos informacijos, apdorojamos ar perduodamos </w:t>
            </w:r>
            <w:r w:rsidR="00A11CB3" w:rsidRPr="003368DC">
              <w:t>įslaptintos informacijos ryšių ir informacinių sistemų</w:t>
            </w:r>
            <w:r w:rsidR="00A842A3" w:rsidRPr="003368DC">
              <w:t>, apsaugą nuo elektromagnetinės spinduliuotės, funkcijas, vykdyti NATO ryšių ir informacinių sistemų</w:t>
            </w:r>
            <w:r w:rsidR="00FD52CD" w:rsidRPr="003368DC">
              <w:t xml:space="preserve"> plėtrą ir priežiūrą Lietuvos Respublikoje ir kontroliuoti jų saugumą ir įstaigos tvarkomų tarpžinybinių ĮIRIS plėtrą ir priežiūrą ir kontroliuoti jų saugumą, valdyti Lietuvos Respublikos karinius radijo dažnius, vykdyti krašto apsaugos sistemos ryšių ir informacinių sistemų plėtrą ir priežiūrą ir informacinių technologijų paslaugų įstaigos funkcijas</w:t>
            </w:r>
            <w:r w:rsidR="0062591D" w:rsidRPr="003368DC">
              <w:t>.</w:t>
            </w:r>
          </w:p>
        </w:tc>
      </w:tr>
      <w:tr w:rsidR="0062591D" w:rsidRPr="00AF5EF1" w:rsidTr="0050298B">
        <w:trPr>
          <w:gridAfter w:val="4"/>
          <w:wAfter w:w="5568" w:type="dxa"/>
          <w:trHeight w:val="58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1.5.</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9379BB">
            <w:r w:rsidRPr="00AF5EF1">
              <w:t xml:space="preserve">Infrastruktūros </w:t>
            </w:r>
            <w:r w:rsidR="009379BB">
              <w:t>valdymo agentūra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Mindaugo g. 24, LT-03215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81528A" w:rsidP="0028169D">
            <w:pPr>
              <w:jc w:val="center"/>
              <w:rPr>
                <w:bCs/>
              </w:rPr>
            </w:pPr>
            <w:r>
              <w:rPr>
                <w:bCs/>
              </w:rPr>
              <w:t>3985,61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81528A" w:rsidP="00876819">
            <w:pPr>
              <w:jc w:val="center"/>
              <w:rPr>
                <w:bCs/>
              </w:rPr>
            </w:pPr>
            <w:r>
              <w:rPr>
                <w:bCs/>
              </w:rPr>
              <w:t>91122,26</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731D8F">
            <w:pPr>
              <w:jc w:val="both"/>
            </w:pPr>
            <w:r w:rsidRPr="003368DC">
              <w:t xml:space="preserve">       </w:t>
            </w:r>
            <w:r w:rsidR="0062591D" w:rsidRPr="003368DC">
              <w:t xml:space="preserve">Įgyvendinti </w:t>
            </w:r>
            <w:r w:rsidR="00385A3D" w:rsidRPr="003368DC">
              <w:t>krašto apsaugos sistemos</w:t>
            </w:r>
            <w:r w:rsidR="0062591D" w:rsidRPr="003368DC">
              <w:t xml:space="preserve"> infrastruktūros plėtr</w:t>
            </w:r>
            <w:r w:rsidR="009379BB" w:rsidRPr="003368DC">
              <w:t>os projektus, teikti informaciją, reikalingą</w:t>
            </w:r>
            <w:r w:rsidR="00B5068C" w:rsidRPr="003368DC">
              <w:t xml:space="preserve"> </w:t>
            </w:r>
            <w:r w:rsidR="009379BB" w:rsidRPr="003368DC">
              <w:t xml:space="preserve"> infrastruktūros plėtros politikai formuoti, užtikrinti </w:t>
            </w:r>
            <w:r w:rsidR="00731D8F">
              <w:t xml:space="preserve">apsauginės įsilaužimo, perimetro ir užpuolimo signalizacijos, elektroninės </w:t>
            </w:r>
            <w:r w:rsidR="00731D8F">
              <w:lastRenderedPageBreak/>
              <w:t xml:space="preserve">įeigos kontrolės ir vaizdo stebėjimo sistemų įrengimą ir prižiūrą </w:t>
            </w:r>
            <w:r w:rsidR="00385A3D" w:rsidRPr="003368DC">
              <w:t>krašto apsaugos sistemos</w:t>
            </w:r>
            <w:r w:rsidR="009379BB" w:rsidRPr="003368DC">
              <w:t xml:space="preserve"> institucijose</w:t>
            </w:r>
            <w:r w:rsidR="0062591D" w:rsidRPr="003368DC">
              <w:t>.</w:t>
            </w:r>
          </w:p>
        </w:tc>
      </w:tr>
      <w:tr w:rsidR="0062591D" w:rsidRPr="00AF5EF1" w:rsidTr="0050298B">
        <w:trPr>
          <w:gridAfter w:val="4"/>
          <w:wAfter w:w="5568" w:type="dxa"/>
          <w:trHeight w:val="61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1.6.</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565F7B">
            <w:r w:rsidRPr="00AF5EF1">
              <w:t xml:space="preserve">Mobilizacijos ir pilietinio pasipriešinimo departamentas prie Krašto apsaugos ministerijos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L. Sapiegos g. 21,</w:t>
            </w:r>
          </w:p>
          <w:p w:rsidR="0062591D" w:rsidRPr="00AF5EF1" w:rsidRDefault="0062591D" w:rsidP="00565F7B">
            <w:pPr>
              <w:jc w:val="center"/>
            </w:pPr>
            <w:r w:rsidRPr="00AF5EF1">
              <w:t>LT-10312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pPr>
            <w:r w:rsidRPr="00EE66BC">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pPr>
            <w:r w:rsidRPr="00EE66BC">
              <w:t>0,0</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8C5B5F">
            <w:pPr>
              <w:jc w:val="both"/>
            </w:pPr>
            <w:r w:rsidRPr="003368DC">
              <w:t xml:space="preserve">      </w:t>
            </w:r>
            <w:r w:rsidR="008C5B5F" w:rsidRPr="003368DC">
              <w:t>Dalyvauti Krašto apsaugos ministerijai formuojant valstybės mobilizacijos, priimančiosios šalies paramos ir pilietinio pasipriešinimo, pilietinio ir patriotinio ugdymo politiką, administruoti civilinių mobilizacijos institucijų, mobilizacinių ūkio subjektų pasirengimą mobilizacijai, administruoti civilinių mobilizacijos institucijų, mobilizacinių ūkio subjektų pasirengimą teikti priimančiosios šalies paramą ir jų dalyvavimą šią paramą teikiant, organizuoti ir koordinuoti krašto apsaugos sistemos, valstybės, savivaldybės institucijų, įstaigų ir (ar) nevyriausybinių organizacijų bendradarbiavimą pilietinio pasipriešinimo, pilietinio ir patriotinio ugdymo srityje.</w:t>
            </w:r>
          </w:p>
        </w:tc>
      </w:tr>
      <w:tr w:rsidR="0062591D" w:rsidRPr="00AF5EF1" w:rsidTr="0050298B">
        <w:trPr>
          <w:gridAfter w:val="4"/>
          <w:wAfter w:w="5568" w:type="dxa"/>
          <w:trHeight w:val="52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1.7.</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565F7B">
            <w:r w:rsidRPr="00AF5EF1">
              <w:t>Vytauto Didžiojo karo  muziejus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K. Donelaičio g. 64,</w:t>
            </w:r>
          </w:p>
          <w:p w:rsidR="0062591D" w:rsidRPr="00AF5EF1" w:rsidRDefault="0062591D" w:rsidP="00565F7B">
            <w:pPr>
              <w:jc w:val="center"/>
            </w:pPr>
            <w:r w:rsidRPr="00AF5EF1">
              <w:t>LT-44248 Kaunas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E2A77" w:rsidP="0081528A">
            <w:pPr>
              <w:jc w:val="center"/>
            </w:pPr>
            <w:r>
              <w:t>(</w:t>
            </w:r>
            <w:r w:rsidR="0081528A">
              <w:t>61278,05</w:t>
            </w:r>
            <w: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4CEE" w:rsidRPr="00EE66BC" w:rsidRDefault="00EC4CEE" w:rsidP="00D25FF3">
            <w:pPr>
              <w:jc w:val="center"/>
            </w:pPr>
          </w:p>
          <w:p w:rsidR="00B81254" w:rsidRDefault="00B81254" w:rsidP="00D25FF3">
            <w:pPr>
              <w:jc w:val="center"/>
            </w:pPr>
          </w:p>
          <w:p w:rsidR="00EC4CEE" w:rsidRPr="00EE66BC" w:rsidRDefault="0081528A" w:rsidP="00D25FF3">
            <w:pPr>
              <w:jc w:val="center"/>
            </w:pPr>
            <w:r>
              <w:t>18512636,59</w:t>
            </w:r>
          </w:p>
          <w:p w:rsidR="00EC4CEE" w:rsidRPr="00EE66BC" w:rsidRDefault="00EC4CEE" w:rsidP="00D25FF3">
            <w:pPr>
              <w:jc w:val="center"/>
            </w:pPr>
          </w:p>
          <w:p w:rsidR="001625B8" w:rsidRPr="00EE66BC" w:rsidRDefault="001625B8" w:rsidP="00D25FF3">
            <w:pPr>
              <w:jc w:val="cente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64331C">
            <w:pPr>
              <w:widowControl w:val="0"/>
              <w:shd w:val="clear" w:color="auto" w:fill="FFFFFF"/>
              <w:tabs>
                <w:tab w:val="left" w:pos="734"/>
              </w:tabs>
              <w:autoSpaceDE w:val="0"/>
              <w:autoSpaceDN w:val="0"/>
              <w:adjustRightInd w:val="0"/>
              <w:spacing w:line="0" w:lineRule="atLeast"/>
              <w:jc w:val="both"/>
            </w:pPr>
            <w:r w:rsidRPr="003368DC">
              <w:t xml:space="preserve">       </w:t>
            </w:r>
            <w:r w:rsidR="0064331C" w:rsidRPr="003368DC">
              <w:t>Kaupti ir saugoti Lietuvos karybos ir kultūros paveldo muziejines vertybes, dirbti, tiriamąjį darbą, su sukauptomis muziejinėmis vertybėmis supažindinti visuomenę, dirbti edukacinį ir šviečiamąjį darbą.</w:t>
            </w:r>
          </w:p>
        </w:tc>
      </w:tr>
      <w:tr w:rsidR="0062591D" w:rsidRPr="00AF5EF1" w:rsidTr="0050298B">
        <w:trPr>
          <w:gridAfter w:val="4"/>
          <w:wAfter w:w="5568" w:type="dxa"/>
          <w:trHeight w:val="93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1.8.</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1611D2" w:rsidRDefault="0062591D" w:rsidP="00565F7B">
            <w:r w:rsidRPr="001611D2">
              <w:t xml:space="preserve">Generolo Jono Žemaičio Lietuvos karo akademija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1611D2" w:rsidRDefault="0062591D" w:rsidP="00565F7B">
            <w:pPr>
              <w:jc w:val="center"/>
            </w:pPr>
            <w:r w:rsidRPr="001611D2">
              <w:t>Šilo g. 5a,</w:t>
            </w:r>
          </w:p>
          <w:p w:rsidR="0062591D" w:rsidRPr="001611D2" w:rsidRDefault="0062591D" w:rsidP="00565F7B">
            <w:pPr>
              <w:jc w:val="center"/>
            </w:pPr>
            <w:r w:rsidRPr="001611D2">
              <w:t>LT-2055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F14CA7" w:rsidRDefault="007B2E5B" w:rsidP="0081528A">
            <w:pPr>
              <w:jc w:val="center"/>
            </w:pPr>
            <w:r>
              <w:t>(</w:t>
            </w:r>
            <w:r w:rsidR="0081528A">
              <w:t>26511,25</w:t>
            </w:r>
            <w: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69D" w:rsidRPr="00F14CA7" w:rsidRDefault="008D2EF4" w:rsidP="0081528A">
            <w:pPr>
              <w:jc w:val="center"/>
            </w:pPr>
            <w:r>
              <w:t>9</w:t>
            </w:r>
            <w:r w:rsidR="0081528A">
              <w:t>7503,63</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14633" w:rsidRPr="003368DC" w:rsidRDefault="0076074F" w:rsidP="00291A1B">
            <w:pPr>
              <w:pStyle w:val="Default"/>
              <w:jc w:val="both"/>
              <w:rPr>
                <w:color w:val="auto"/>
                <w:sz w:val="23"/>
                <w:szCs w:val="23"/>
              </w:rPr>
            </w:pPr>
            <w:r w:rsidRPr="003368DC">
              <w:rPr>
                <w:color w:val="auto"/>
                <w:sz w:val="23"/>
                <w:szCs w:val="23"/>
              </w:rPr>
              <w:t xml:space="preserve">        </w:t>
            </w:r>
            <w:r w:rsidR="00C14633" w:rsidRPr="003368DC">
              <w:rPr>
                <w:color w:val="auto"/>
                <w:sz w:val="23"/>
                <w:szCs w:val="23"/>
              </w:rPr>
              <w:t xml:space="preserve">Vykdyti universitetines studijas, ugdančias karininkus, karybos ir nacionalinio saugumo specialistus, teikti moksliniais tyrimais grindžiamą šiuolaikinį pažinimo ir technologijų lygį atitinkantį aukštąjį universitetinį išsilavinimą, aukštojo mokslo kvalifikaciją, ugdyti visapusiškai išsilavinusią, etiškai atsakingą ir kūrybingą asmenybę; </w:t>
            </w:r>
          </w:p>
          <w:p w:rsidR="00C14633" w:rsidRPr="003368DC" w:rsidRDefault="00C14633" w:rsidP="00291A1B">
            <w:pPr>
              <w:pStyle w:val="Default"/>
              <w:jc w:val="both"/>
              <w:rPr>
                <w:color w:val="auto"/>
                <w:sz w:val="23"/>
                <w:szCs w:val="23"/>
              </w:rPr>
            </w:pPr>
            <w:r w:rsidRPr="003368DC">
              <w:rPr>
                <w:color w:val="auto"/>
                <w:sz w:val="23"/>
                <w:szCs w:val="23"/>
              </w:rPr>
              <w:t xml:space="preserve">darniai plėtoti karybos ir nacionalinio saugumo sričių mokslinį pažinimą, atlikti </w:t>
            </w:r>
            <w:r w:rsidRPr="003368DC">
              <w:rPr>
                <w:color w:val="auto"/>
                <w:sz w:val="23"/>
                <w:szCs w:val="23"/>
              </w:rPr>
              <w:lastRenderedPageBreak/>
              <w:t xml:space="preserve">tarptautinio lygio fundamentinius ir taikomuosius mokslinius tyrimus (toliau – moksliniai tyrimai), eksperimentinę veiklą, vykdyti šia veikla grindžiamas universitetines studijas, teikti aukštąjį universitetinį išsilavinimą. </w:t>
            </w:r>
          </w:p>
          <w:p w:rsidR="0062591D" w:rsidRPr="003368DC" w:rsidRDefault="0062591D" w:rsidP="00C14633">
            <w:pPr>
              <w:jc w:val="both"/>
            </w:pPr>
          </w:p>
        </w:tc>
      </w:tr>
      <w:tr w:rsidR="0062591D" w:rsidRPr="00AF5EF1" w:rsidTr="0050298B">
        <w:trPr>
          <w:gridAfter w:val="4"/>
          <w:wAfter w:w="5568" w:type="dxa"/>
          <w:trHeight w:val="7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bookmarkStart w:id="6" w:name="_GoBack" w:colFirst="6" w:colLast="7"/>
            <w:r w:rsidRPr="00AF5EF1">
              <w:rPr>
                <w:sz w:val="20"/>
                <w:szCs w:val="20"/>
              </w:rPr>
              <w:lastRenderedPageBreak/>
              <w:t>1.9.</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r w:rsidRPr="00AF5EF1">
              <w:t>Antrasis operatyvinių tarnybų departamentas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Jankiškių g. 25, LT-02300,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C06716" w:rsidRDefault="00466079" w:rsidP="00C06716">
            <w:pPr>
              <w:jc w:val="center"/>
            </w:pPr>
            <w:r w:rsidRPr="00C06716">
              <w:t>(</w:t>
            </w:r>
            <w:r w:rsidR="00C06716" w:rsidRPr="00C06716">
              <w:t>87745,11</w:t>
            </w:r>
            <w:r w:rsidRPr="00C06716">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2CC" w:rsidRPr="00C06716" w:rsidRDefault="00C06716" w:rsidP="00D871D6">
            <w:pPr>
              <w:jc w:val="center"/>
            </w:pPr>
            <w:r w:rsidRPr="00C06716">
              <w:t>538152,53</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14435" w:rsidRPr="003368DC" w:rsidRDefault="00214435" w:rsidP="00565F7B">
            <w:r w:rsidRPr="003368DC">
              <w:rPr>
                <w:rFonts w:ascii="Verdana" w:hAnsi="Verdana"/>
                <w:sz w:val="17"/>
                <w:szCs w:val="17"/>
              </w:rPr>
              <w:t xml:space="preserve">     </w:t>
            </w:r>
            <w:r w:rsidR="00542C43" w:rsidRPr="003368DC">
              <w:t>Vy</w:t>
            </w:r>
            <w:r w:rsidRPr="003368DC">
              <w:t xml:space="preserve">kdyti žvalgybą ir kontržvalgybą gynybos, karinėje-politinėje, karinėje-ekonominėje, karinėje-technologinėje ir karinėje-informacinėje srityse, </w:t>
            </w:r>
            <w:r w:rsidR="00542C43" w:rsidRPr="003368DC">
              <w:t>krašto apsaugos</w:t>
            </w:r>
            <w:r w:rsidRPr="003368DC">
              <w:t xml:space="preserve"> sistemos institucijų veiklos užsienyje srityje</w:t>
            </w:r>
            <w:r w:rsidR="00542C43" w:rsidRPr="003368DC">
              <w:t xml:space="preserve"> ir</w:t>
            </w:r>
            <w:r w:rsidRPr="003368DC">
              <w:t xml:space="preserve"> valstybės ir tarnybos paslaptį sudarančios informacijos apsaugos srityje.</w:t>
            </w:r>
            <w:r w:rsidR="0076074F" w:rsidRPr="003368DC">
              <w:t xml:space="preserve">        </w:t>
            </w:r>
          </w:p>
          <w:p w:rsidR="0062591D" w:rsidRPr="003368DC" w:rsidRDefault="0062591D" w:rsidP="00565F7B"/>
        </w:tc>
      </w:tr>
      <w:bookmarkEnd w:id="6"/>
      <w:tr w:rsidR="0062591D"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1.10.</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2591D" w:rsidRPr="00AF5EF1" w:rsidRDefault="0062591D" w:rsidP="00565F7B">
            <w:r w:rsidRPr="00AF5EF1">
              <w:t>Gynybos resursų agentūra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proofErr w:type="spellStart"/>
            <w:r w:rsidRPr="00AF5EF1">
              <w:rPr>
                <w:lang w:val="en"/>
              </w:rPr>
              <w:t>Šv</w:t>
            </w:r>
            <w:proofErr w:type="spellEnd"/>
            <w:r w:rsidRPr="00AF5EF1">
              <w:rPr>
                <w:lang w:val="en"/>
              </w:rPr>
              <w:t xml:space="preserve">. </w:t>
            </w:r>
            <w:proofErr w:type="spellStart"/>
            <w:r w:rsidRPr="00AF5EF1">
              <w:rPr>
                <w:lang w:val="en"/>
              </w:rPr>
              <w:t>Ignoto</w:t>
            </w:r>
            <w:proofErr w:type="spellEnd"/>
            <w:r w:rsidRPr="00AF5EF1">
              <w:rPr>
                <w:lang w:val="en"/>
              </w:rPr>
              <w:t xml:space="preserve"> g. 6, LT-01144,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81528A" w:rsidP="00A676DB">
            <w:pPr>
              <w:jc w:val="center"/>
            </w:pPr>
            <w:r>
              <w:t>10311306,41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81528A" w:rsidP="00A676DB">
            <w:pPr>
              <w:jc w:val="center"/>
            </w:pPr>
            <w:r>
              <w:t>13290984,89</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731D8F">
            <w:pPr>
              <w:jc w:val="both"/>
            </w:pPr>
            <w:r w:rsidRPr="003368DC">
              <w:t xml:space="preserve">        </w:t>
            </w:r>
            <w:r w:rsidR="0062591D" w:rsidRPr="003368DC">
              <w:t xml:space="preserve">Dalyvauti formuojant pasirengimo valstybės gynimui ir kariuomenės mobilizacijai politiką, įsigyjant ir valdant karinės paskirties priemones ir kitas prekes, paslaugas ir darbus, krašto apsaugos ministro nustatytomis sąlygomis ir tvarka vykdyti </w:t>
            </w:r>
            <w:r w:rsidR="00045256" w:rsidRPr="003368DC">
              <w:t>krašto apsaugos sistemos (toliau – KAS)</w:t>
            </w:r>
            <w:r w:rsidR="0062591D" w:rsidRPr="003368DC">
              <w:t xml:space="preserve"> perkančiųjų organizacijų funkcijas aprūpinant perkančiąsias organizacijas prekėmis, paslaugomis ir darbais – organizuoti ir koordinuoti </w:t>
            </w:r>
            <w:r w:rsidR="00731D8F">
              <w:t>GRA</w:t>
            </w:r>
            <w:r w:rsidR="0062591D" w:rsidRPr="003368DC">
              <w:t xml:space="preserve"> kompetencijai priskirtus prekių, paslaugų ir darbų centralizuotus KAS pirkimus, dalyvauti formuojant karybos srities standartizacijos politiką, užtikrinti radiacinės saugos reikalavimų įgyvendinimą ir kontrolę KAS, užtikrinti KAS bendradarbiavimą mokslo, gynybos tyrimų ir technologijų srityje su Lietuvos mokslo institucijomis, karinės paskirties priemonių gamintojais ir tiekėjais, </w:t>
            </w:r>
            <w:r w:rsidR="0062591D" w:rsidRPr="003368DC">
              <w:lastRenderedPageBreak/>
              <w:t>tarptautinių daugiašalių gynybos įsigijimų srityje – su NATO, ES ir kitų šalių institucijomis ir organizacijomis.</w:t>
            </w:r>
          </w:p>
        </w:tc>
      </w:tr>
      <w:tr w:rsidR="0062591D"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1.11</w:t>
            </w:r>
            <w:r w:rsidR="001A3442">
              <w:rPr>
                <w:sz w:val="20"/>
                <w:szCs w:val="20"/>
              </w:rPr>
              <w:t>.</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2591D" w:rsidRPr="00AF5EF1" w:rsidRDefault="0062591D" w:rsidP="00565F7B">
            <w:r w:rsidRPr="00AF5EF1">
              <w:t>Nacionalinis kibernetinio saugumo centras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Gedimino pr.40, LT-01110,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A34678" w:rsidP="0081528A">
            <w:pPr>
              <w:jc w:val="center"/>
            </w:pPr>
            <w:r>
              <w:t>(</w:t>
            </w:r>
            <w:r w:rsidR="0081528A">
              <w:t>13625,22</w:t>
            </w:r>
            <w: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254" w:rsidRDefault="00B81254" w:rsidP="0014425E">
            <w:pPr>
              <w:jc w:val="center"/>
            </w:pPr>
          </w:p>
          <w:p w:rsidR="0014425E" w:rsidRPr="00EE66BC" w:rsidRDefault="0081528A" w:rsidP="0014425E">
            <w:pPr>
              <w:jc w:val="center"/>
            </w:pPr>
            <w:r>
              <w:t>51582,05</w:t>
            </w:r>
          </w:p>
          <w:p w:rsidR="0014425E" w:rsidRPr="00EE66BC" w:rsidRDefault="0014425E" w:rsidP="00565F7B">
            <w:pPr>
              <w:jc w:val="cente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821A01">
            <w:pPr>
              <w:jc w:val="both"/>
            </w:pPr>
            <w:r w:rsidRPr="003368DC">
              <w:t xml:space="preserve">        </w:t>
            </w:r>
            <w:r w:rsidR="00982CFF" w:rsidRPr="003368DC">
              <w:t xml:space="preserve">Atlikti kibernetinių incidentų stebėseną, analizę, tyrimus ir su kibernetinių incidentų valdymu susijusius veiksmus, Saugumo priežiūros tarnybos funkcijas, Nacionalinės komunikacijų apsaugos tarnybos funkcijas, informacinių išteklių bei kibernetinio saugumo subjektų atitikties teisės aktų nustatytiems kibernetinio saugumo ir elektroninės informacijos saugos reikalavimams vertinimo, priežiūros ir stebėsenos funkcijas, </w:t>
            </w:r>
            <w:r w:rsidR="00821A01">
              <w:t xml:space="preserve">plėtoti tarptautinį bendradarbiavimą kibernetinio saugumo srityje, </w:t>
            </w:r>
            <w:r w:rsidR="00982CFF" w:rsidRPr="003368DC">
              <w:t>vykdyti tyrimų ir švietimo kibernetinio saugumo klausimais veiklą, užtikrinti krašto apsaugos sistemos valdomų ryšių ir informacinių sistemų kibernetinį saugumą</w:t>
            </w:r>
            <w:r w:rsidR="00821A01">
              <w:t xml:space="preserve">, atlikti nacionalinės kibernetinio saugumo sertifikavimo institucijos funkcijas, koordinuoti kibernetinio saugumo subjektų ryšių ir informacinių sistemų spragų atsakingą atskleidimą. </w:t>
            </w:r>
          </w:p>
        </w:tc>
      </w:tr>
      <w:tr w:rsidR="001A3442"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565F7B">
            <w:pPr>
              <w:rPr>
                <w:bCs/>
                <w:sz w:val="20"/>
                <w:szCs w:val="20"/>
              </w:rPr>
            </w:pPr>
            <w:r w:rsidRPr="009C5C9A">
              <w:rPr>
                <w:bCs/>
                <w:sz w:val="20"/>
                <w:szCs w:val="20"/>
              </w:rPr>
              <w:t>1.12.</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A3442" w:rsidRPr="009C5C9A" w:rsidRDefault="00DA5E95" w:rsidP="00565F7B">
            <w:pPr>
              <w:rPr>
                <w:bCs/>
              </w:rPr>
            </w:pPr>
            <w:r w:rsidRPr="009C5C9A">
              <w:rPr>
                <w:bCs/>
              </w:rPr>
              <w:t>Kertinis valstybės telekomunikacijų centras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1A3442">
            <w:pPr>
              <w:jc w:val="center"/>
              <w:rPr>
                <w:bCs/>
              </w:rPr>
            </w:pPr>
            <w:r w:rsidRPr="009C5C9A">
              <w:rPr>
                <w:bCs/>
              </w:rPr>
              <w:t xml:space="preserve">Pilies g. 23 / Šv. Jono g. 15, LT-01123, Vilnius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9E6F69">
            <w:pPr>
              <w:jc w:val="center"/>
            </w:pPr>
            <w:r w:rsidRPr="009C5C9A">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9E6F69">
            <w:pPr>
              <w:jc w:val="center"/>
            </w:pPr>
            <w:r w:rsidRPr="009C5C9A">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9C5C9A" w:rsidRDefault="001A3442" w:rsidP="009E6F69">
            <w:pPr>
              <w:jc w:val="center"/>
            </w:pPr>
            <w:r w:rsidRPr="009C5C9A">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A676DB" w:rsidRDefault="00C676F1" w:rsidP="0081528A">
            <w:pPr>
              <w:jc w:val="center"/>
              <w:rPr>
                <w:bCs/>
              </w:rPr>
            </w:pPr>
            <w:r w:rsidRPr="00A676DB">
              <w:rPr>
                <w:bCs/>
              </w:rPr>
              <w:t>(</w:t>
            </w:r>
            <w:r w:rsidR="0081528A">
              <w:rPr>
                <w:bCs/>
              </w:rPr>
              <w:t>605900,67</w:t>
            </w:r>
            <w:r w:rsidRPr="00A676DB">
              <w:rPr>
                <w:bCs/>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A676DB" w:rsidRDefault="0081528A" w:rsidP="00A352F4">
            <w:pPr>
              <w:jc w:val="center"/>
              <w:rPr>
                <w:bCs/>
              </w:rPr>
            </w:pPr>
            <w:r>
              <w:rPr>
                <w:bCs/>
              </w:rPr>
              <w:t>1592211,34</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76074F" w:rsidP="00D05512">
            <w:pPr>
              <w:rPr>
                <w:bCs/>
              </w:rPr>
            </w:pPr>
            <w:r w:rsidRPr="003368DC">
              <w:rPr>
                <w:bCs/>
              </w:rPr>
              <w:t xml:space="preserve">         </w:t>
            </w:r>
            <w:r w:rsidR="00D05512" w:rsidRPr="003368DC">
              <w:rPr>
                <w:bCs/>
              </w:rPr>
              <w:t>Tvarkyti</w:t>
            </w:r>
            <w:r w:rsidR="006D7087" w:rsidRPr="003368DC">
              <w:rPr>
                <w:bCs/>
              </w:rPr>
              <w:t xml:space="preserve"> Saugųjį valstybinį duomenų perdavimo tinklą (toliau – Saugusis tinklas), </w:t>
            </w:r>
            <w:r w:rsidR="00D05512" w:rsidRPr="003368DC">
              <w:rPr>
                <w:bCs/>
              </w:rPr>
              <w:t xml:space="preserve">eksploatuoti valstybinius duomenų centrus, teikti specialios paskirties ryšių ir informacinių sistemų paslaugas valstybės ir savivaldybių institucijoms, valstybės įstaigoms ir Lietuvos Respublikos strateginę reikšmę nacionaliniam saugumui turinčių įmonių ir įrenginių bei kitų nacionaliniam saugumui užtikrinti svarbių įmonių įstatyme </w:t>
            </w:r>
            <w:r w:rsidR="00D05512" w:rsidRPr="003368DC">
              <w:rPr>
                <w:bCs/>
              </w:rPr>
              <w:lastRenderedPageBreak/>
              <w:t>nurodytoms valstybės įmonėms, teikti informacinių technologijų paslaugas valstybės institucijoms, iki joms šios paslaugos bus pradėtos teikti centralizuotai.</w:t>
            </w:r>
          </w:p>
        </w:tc>
      </w:tr>
      <w:tr w:rsidR="001A3442"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lastRenderedPageBreak/>
              <w:t>2.</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A3442" w:rsidRPr="00AF5EF1" w:rsidRDefault="001A3442" w:rsidP="00565F7B">
            <w:pPr>
              <w:rPr>
                <w:b/>
                <w:bCs/>
                <w:sz w:val="20"/>
                <w:szCs w:val="20"/>
              </w:rPr>
            </w:pPr>
            <w:r w:rsidRPr="00AF5EF1">
              <w:rPr>
                <w:b/>
                <w:bCs/>
                <w:sz w:val="20"/>
                <w:szCs w:val="20"/>
              </w:rPr>
              <w:t>Kontroliuojamos viešosios įstaigos, priskiriamos prie viešojo sektoriaus subjektų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0533C5"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AF5EF1" w:rsidTr="0050298B">
        <w:trPr>
          <w:gridAfter w:val="4"/>
          <w:wAfter w:w="5568" w:type="dxa"/>
          <w:trHeight w:val="57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3.</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Kontroliuojamos viešosios įstaigos, nepriskiriamos prie viešojo sektoriaus subjektų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0533C5"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4A74D6" w:rsidTr="0050298B">
        <w:trPr>
          <w:gridAfter w:val="4"/>
          <w:wAfter w:w="5568" w:type="dxa"/>
          <w:trHeight w:val="306"/>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1A3442" w:rsidRDefault="001A3442" w:rsidP="00565F7B">
            <w:pPr>
              <w:rPr>
                <w:b/>
                <w:bCs/>
                <w:sz w:val="20"/>
                <w:szCs w:val="20"/>
              </w:rPr>
            </w:pPr>
            <w:r w:rsidRPr="001A3442">
              <w:rPr>
                <w:b/>
                <w:bCs/>
                <w:sz w:val="20"/>
                <w:szCs w:val="20"/>
              </w:rPr>
              <w:t>4.</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1A3442" w:rsidRDefault="001A3442" w:rsidP="00565F7B">
            <w:pPr>
              <w:rPr>
                <w:b/>
                <w:bCs/>
                <w:sz w:val="20"/>
                <w:szCs w:val="20"/>
              </w:rPr>
            </w:pPr>
            <w:r w:rsidRPr="001A3442">
              <w:rPr>
                <w:b/>
                <w:bCs/>
                <w:sz w:val="20"/>
                <w:szCs w:val="20"/>
              </w:rPr>
              <w:t>Valstybės ir savivaldybių įmonės***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4A74D6" w:rsidRDefault="001A3442" w:rsidP="00565F7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4A74D6" w:rsidRDefault="001A3442" w:rsidP="00565F7B">
            <w:pPr>
              <w:jc w:val="center"/>
              <w:rPr>
                <w:b/>
                <w:bCs/>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4A74D6" w:rsidRDefault="001A3442" w:rsidP="00565F7B">
            <w:pPr>
              <w:jc w:val="center"/>
              <w:rPr>
                <w:b/>
                <w:bCs/>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0533C5" w:rsidRDefault="001A3442" w:rsidP="00565F7B">
            <w:pPr>
              <w:jc w:val="center"/>
              <w:rPr>
                <w:b/>
                <w:bCs/>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D032EE">
            <w:pPr>
              <w:jc w:val="center"/>
              <w:rPr>
                <w:b/>
                <w:bCs/>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rPr>
            </w:pPr>
            <w:r w:rsidRPr="003368DC">
              <w:rPr>
                <w:b/>
                <w:bCs/>
              </w:rPr>
              <w:t> </w:t>
            </w:r>
          </w:p>
        </w:tc>
      </w:tr>
      <w:tr w:rsidR="001A3442"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5.</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Kontroliuojamos akcinės ir uždarosios akcinės bendrovės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027A0E"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AF5EF1" w:rsidTr="0050298B">
        <w:trPr>
          <w:gridAfter w:val="4"/>
          <w:wAfter w:w="5568" w:type="dxa"/>
          <w:trHeight w:val="141"/>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6.</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Asocijuotieji subjektai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AF5EF1"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AF5EF1" w:rsidTr="0050298B">
        <w:trPr>
          <w:gridAfter w:val="4"/>
          <w:wAfter w:w="5568" w:type="dxa"/>
          <w:trHeight w:val="25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7.</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 xml:space="preserve">Kiti subjektai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AF5EF1"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C01E5D" w:rsidRDefault="001A3442" w:rsidP="00565F7B">
            <w:pPr>
              <w:rPr>
                <w:b/>
                <w:bCs/>
                <w:sz w:val="20"/>
                <w:szCs w:val="20"/>
              </w:rPr>
            </w:pPr>
          </w:p>
        </w:tc>
      </w:tr>
      <w:tr w:rsidR="001A3442" w:rsidRPr="00AF5EF1" w:rsidTr="0050298B">
        <w:trPr>
          <w:gridAfter w:val="4"/>
          <w:wAfter w:w="5568" w:type="dxa"/>
          <w:trHeight w:val="259"/>
        </w:trPr>
        <w:tc>
          <w:tcPr>
            <w:tcW w:w="616"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355" w:type="dxa"/>
            <w:gridSpan w:val="3"/>
            <w:tcBorders>
              <w:top w:val="nil"/>
              <w:left w:val="nil"/>
              <w:bottom w:val="nil"/>
              <w:right w:val="nil"/>
            </w:tcBorders>
            <w:shd w:val="clear" w:color="auto" w:fill="auto"/>
            <w:vAlign w:val="center"/>
          </w:tcPr>
          <w:p w:rsidR="001A3442" w:rsidRPr="00AF5EF1" w:rsidRDefault="001A3442" w:rsidP="00565F7B">
            <w:pPr>
              <w:rPr>
                <w:b/>
                <w:bCs/>
                <w:sz w:val="20"/>
                <w:szCs w:val="20"/>
              </w:rPr>
            </w:pPr>
          </w:p>
        </w:tc>
        <w:tc>
          <w:tcPr>
            <w:tcW w:w="723" w:type="dxa"/>
            <w:tcBorders>
              <w:top w:val="nil"/>
              <w:left w:val="nil"/>
              <w:bottom w:val="nil"/>
              <w:right w:val="nil"/>
            </w:tcBorders>
            <w:shd w:val="clear" w:color="auto" w:fill="auto"/>
            <w:vAlign w:val="center"/>
          </w:tcPr>
          <w:p w:rsidR="001A3442" w:rsidRPr="00AF5EF1" w:rsidRDefault="001A3442" w:rsidP="00565F7B">
            <w:pPr>
              <w:rPr>
                <w:b/>
                <w:bCs/>
                <w:sz w:val="20"/>
                <w:szCs w:val="20"/>
              </w:rPr>
            </w:pPr>
          </w:p>
        </w:tc>
        <w:tc>
          <w:tcPr>
            <w:tcW w:w="1275"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134"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168"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242" w:type="dxa"/>
            <w:gridSpan w:val="3"/>
            <w:tcBorders>
              <w:top w:val="nil"/>
              <w:left w:val="nil"/>
              <w:bottom w:val="nil"/>
              <w:right w:val="nil"/>
            </w:tcBorders>
          </w:tcPr>
          <w:p w:rsidR="001A3442" w:rsidRPr="00AF5EF1" w:rsidRDefault="001A3442" w:rsidP="00565F7B">
            <w:pPr>
              <w:rPr>
                <w:b/>
                <w:bCs/>
                <w:sz w:val="20"/>
                <w:szCs w:val="20"/>
              </w:rPr>
            </w:pPr>
          </w:p>
        </w:tc>
        <w:tc>
          <w:tcPr>
            <w:tcW w:w="1735"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1701"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4219" w:type="dxa"/>
            <w:gridSpan w:val="5"/>
            <w:tcBorders>
              <w:top w:val="nil"/>
              <w:left w:val="nil"/>
              <w:bottom w:val="nil"/>
              <w:right w:val="nil"/>
            </w:tcBorders>
            <w:shd w:val="clear" w:color="auto" w:fill="auto"/>
            <w:vAlign w:val="center"/>
          </w:tcPr>
          <w:p w:rsidR="001A3442" w:rsidRPr="00C01E5D" w:rsidRDefault="001A3442" w:rsidP="00565F7B">
            <w:pPr>
              <w:rPr>
                <w:b/>
                <w:bCs/>
                <w:sz w:val="20"/>
                <w:szCs w:val="20"/>
              </w:rPr>
            </w:pPr>
          </w:p>
        </w:tc>
      </w:tr>
      <w:tr w:rsidR="001A3442" w:rsidRPr="00AF5EF1" w:rsidTr="0050298B">
        <w:trPr>
          <w:trHeight w:val="259"/>
        </w:trPr>
        <w:tc>
          <w:tcPr>
            <w:tcW w:w="5103" w:type="dxa"/>
            <w:gridSpan w:val="7"/>
            <w:tcBorders>
              <w:top w:val="nil"/>
              <w:left w:val="nil"/>
              <w:bottom w:val="nil"/>
              <w:right w:val="nil"/>
            </w:tcBorders>
            <w:shd w:val="clear" w:color="auto" w:fill="auto"/>
            <w:noWrap/>
            <w:vAlign w:val="center"/>
          </w:tcPr>
          <w:p w:rsidR="001A3442" w:rsidRPr="00AF5EF1" w:rsidRDefault="001A3442" w:rsidP="00565F7B">
            <w:pPr>
              <w:rPr>
                <w:b/>
                <w:bCs/>
                <w:sz w:val="20"/>
                <w:szCs w:val="20"/>
              </w:rPr>
            </w:pPr>
            <w:r w:rsidRPr="00AF5EF1">
              <w:rPr>
                <w:sz w:val="20"/>
                <w:szCs w:val="20"/>
              </w:rPr>
              <w:t xml:space="preserve">                          * – pažymėti ataskaitos laukai nepildomi;</w:t>
            </w:r>
          </w:p>
        </w:tc>
        <w:tc>
          <w:tcPr>
            <w:tcW w:w="1168" w:type="dxa"/>
            <w:tcBorders>
              <w:top w:val="nil"/>
              <w:left w:val="nil"/>
              <w:bottom w:val="nil"/>
              <w:right w:val="nil"/>
            </w:tcBorders>
            <w:shd w:val="clear" w:color="auto" w:fill="auto"/>
            <w:vAlign w:val="center"/>
          </w:tcPr>
          <w:p w:rsidR="001A3442" w:rsidRPr="00AF5EF1" w:rsidRDefault="001A3442" w:rsidP="00565F7B">
            <w:pPr>
              <w:rPr>
                <w:b/>
                <w:bCs/>
                <w:sz w:val="20"/>
                <w:szCs w:val="20"/>
              </w:rPr>
            </w:pPr>
          </w:p>
        </w:tc>
        <w:tc>
          <w:tcPr>
            <w:tcW w:w="1242" w:type="dxa"/>
            <w:gridSpan w:val="3"/>
            <w:tcBorders>
              <w:top w:val="nil"/>
              <w:left w:val="nil"/>
              <w:bottom w:val="nil"/>
              <w:right w:val="nil"/>
            </w:tcBorders>
          </w:tcPr>
          <w:p w:rsidR="001A3442" w:rsidRPr="00AF5EF1" w:rsidRDefault="001A3442" w:rsidP="00565F7B">
            <w:pPr>
              <w:rPr>
                <w:b/>
                <w:bCs/>
                <w:sz w:val="20"/>
                <w:szCs w:val="20"/>
              </w:rPr>
            </w:pPr>
          </w:p>
        </w:tc>
        <w:tc>
          <w:tcPr>
            <w:tcW w:w="1735"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1701"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4219" w:type="dxa"/>
            <w:gridSpan w:val="5"/>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5568" w:type="dxa"/>
            <w:gridSpan w:val="4"/>
            <w:vAlign w:val="center"/>
          </w:tcPr>
          <w:p w:rsidR="001A3442" w:rsidRPr="00AF5EF1" w:rsidRDefault="001A3442" w:rsidP="00565F7B">
            <w:pPr>
              <w:rPr>
                <w:b/>
                <w:bCs/>
                <w:sz w:val="20"/>
                <w:szCs w:val="20"/>
              </w:rPr>
            </w:pPr>
          </w:p>
        </w:tc>
      </w:tr>
      <w:tr w:rsidR="001A3442" w:rsidRPr="00AF5EF1" w:rsidTr="00565F7B">
        <w:trPr>
          <w:gridAfter w:val="4"/>
          <w:wAfter w:w="5568" w:type="dxa"/>
          <w:trHeight w:val="259"/>
        </w:trPr>
        <w:tc>
          <w:tcPr>
            <w:tcW w:w="1296" w:type="dxa"/>
            <w:gridSpan w:val="3"/>
            <w:tcBorders>
              <w:top w:val="nil"/>
              <w:left w:val="nil"/>
              <w:bottom w:val="nil"/>
              <w:right w:val="nil"/>
            </w:tcBorders>
          </w:tcPr>
          <w:p w:rsidR="001A3442" w:rsidRPr="00AF5EF1" w:rsidRDefault="001A3442" w:rsidP="00565F7B">
            <w:pPr>
              <w:rPr>
                <w:sz w:val="20"/>
                <w:szCs w:val="20"/>
              </w:rPr>
            </w:pPr>
          </w:p>
        </w:tc>
        <w:tc>
          <w:tcPr>
            <w:tcW w:w="13872" w:type="dxa"/>
            <w:gridSpan w:val="17"/>
            <w:tcBorders>
              <w:top w:val="nil"/>
              <w:left w:val="nil"/>
              <w:bottom w:val="nil"/>
              <w:right w:val="nil"/>
            </w:tcBorders>
            <w:shd w:val="clear" w:color="auto" w:fill="auto"/>
            <w:vAlign w:val="center"/>
          </w:tcPr>
          <w:p w:rsidR="001A3442" w:rsidRPr="00C01E5D" w:rsidRDefault="001A3442" w:rsidP="00565F7B">
            <w:pPr>
              <w:rPr>
                <w:sz w:val="20"/>
                <w:szCs w:val="20"/>
              </w:rPr>
            </w:pPr>
            <w:r w:rsidRPr="00C01E5D">
              <w:rPr>
                <w:sz w:val="20"/>
                <w:szCs w:val="20"/>
              </w:rPr>
              <w:t>** – įtraukiama tiek detalizuojamų eilučių, kiek yra kontroliuojamų, asocijuotųjų ir kitų subjektų;</w:t>
            </w:r>
          </w:p>
        </w:tc>
      </w:tr>
      <w:tr w:rsidR="001A3442" w:rsidRPr="00AF5EF1" w:rsidTr="00565F7B">
        <w:trPr>
          <w:gridAfter w:val="4"/>
          <w:wAfter w:w="5568" w:type="dxa"/>
          <w:trHeight w:val="259"/>
        </w:trPr>
        <w:tc>
          <w:tcPr>
            <w:tcW w:w="1296" w:type="dxa"/>
            <w:gridSpan w:val="3"/>
            <w:tcBorders>
              <w:top w:val="nil"/>
              <w:left w:val="nil"/>
              <w:bottom w:val="nil"/>
              <w:right w:val="nil"/>
            </w:tcBorders>
          </w:tcPr>
          <w:p w:rsidR="001A3442" w:rsidRPr="00AF5EF1" w:rsidRDefault="001A3442" w:rsidP="00565F7B">
            <w:pPr>
              <w:rPr>
                <w:sz w:val="20"/>
                <w:szCs w:val="20"/>
              </w:rPr>
            </w:pPr>
          </w:p>
        </w:tc>
        <w:tc>
          <w:tcPr>
            <w:tcW w:w="13872" w:type="dxa"/>
            <w:gridSpan w:val="17"/>
            <w:tcBorders>
              <w:top w:val="nil"/>
              <w:left w:val="nil"/>
              <w:bottom w:val="nil"/>
              <w:right w:val="nil"/>
            </w:tcBorders>
            <w:shd w:val="clear" w:color="auto" w:fill="auto"/>
            <w:noWrap/>
            <w:vAlign w:val="center"/>
          </w:tcPr>
          <w:p w:rsidR="001A3442" w:rsidRPr="00C01E5D" w:rsidRDefault="001A3442" w:rsidP="00565F7B">
            <w:pPr>
              <w:rPr>
                <w:sz w:val="20"/>
                <w:szCs w:val="20"/>
              </w:rPr>
            </w:pPr>
            <w:r w:rsidRPr="00C01E5D">
              <w:rPr>
                <w:sz w:val="20"/>
                <w:szCs w:val="20"/>
              </w:rPr>
              <w:t>*** – teikiama  informacija apie tas valstybės ar savivaldybės įmones, kuriose viešojo sektoriaus subjektas įgyvendina įmonės savininko teises ir pareigas.</w:t>
            </w:r>
          </w:p>
        </w:tc>
      </w:tr>
      <w:tr w:rsidR="001A3442" w:rsidRPr="00AF5EF1" w:rsidTr="00565F7B">
        <w:trPr>
          <w:gridAfter w:val="1"/>
          <w:wAfter w:w="4780" w:type="dxa"/>
          <w:trHeight w:val="255"/>
        </w:trPr>
        <w:tc>
          <w:tcPr>
            <w:tcW w:w="776" w:type="dxa"/>
            <w:gridSpan w:val="2"/>
            <w:tcBorders>
              <w:top w:val="nil"/>
              <w:left w:val="nil"/>
              <w:bottom w:val="nil"/>
              <w:right w:val="nil"/>
            </w:tcBorders>
            <w:shd w:val="clear" w:color="auto" w:fill="auto"/>
            <w:noWrap/>
            <w:vAlign w:val="center"/>
          </w:tcPr>
          <w:p w:rsidR="001A3442" w:rsidRPr="00AF5EF1" w:rsidRDefault="001A3442" w:rsidP="00565F7B">
            <w:pPr>
              <w:rPr>
                <w:rFonts w:ascii="Arial" w:hAnsi="Arial" w:cs="Arial"/>
                <w:b/>
                <w:bCs/>
                <w:sz w:val="20"/>
                <w:szCs w:val="20"/>
              </w:rPr>
            </w:pPr>
          </w:p>
        </w:tc>
        <w:tc>
          <w:tcPr>
            <w:tcW w:w="1195" w:type="dxa"/>
            <w:gridSpan w:val="2"/>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4847" w:type="dxa"/>
            <w:gridSpan w:val="5"/>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1296" w:type="dxa"/>
            <w:gridSpan w:val="3"/>
            <w:tcBorders>
              <w:top w:val="nil"/>
              <w:left w:val="nil"/>
              <w:bottom w:val="nil"/>
              <w:right w:val="nil"/>
            </w:tcBorders>
          </w:tcPr>
          <w:p w:rsidR="001A3442" w:rsidRPr="00AF5EF1" w:rsidRDefault="001A3442" w:rsidP="00565F7B">
            <w:pPr>
              <w:rPr>
                <w:rFonts w:ascii="Arial" w:hAnsi="Arial" w:cs="Arial"/>
                <w:sz w:val="20"/>
                <w:szCs w:val="20"/>
              </w:rPr>
            </w:pPr>
          </w:p>
        </w:tc>
        <w:tc>
          <w:tcPr>
            <w:tcW w:w="2316" w:type="dxa"/>
            <w:gridSpan w:val="2"/>
            <w:tcBorders>
              <w:top w:val="nil"/>
              <w:left w:val="nil"/>
              <w:bottom w:val="nil"/>
              <w:right w:val="nil"/>
            </w:tcBorders>
            <w:shd w:val="clear" w:color="auto" w:fill="auto"/>
            <w:noWrap/>
            <w:vAlign w:val="center"/>
          </w:tcPr>
          <w:p w:rsidR="001A3442" w:rsidRPr="00C01E5D" w:rsidRDefault="001A3442" w:rsidP="00565F7B">
            <w:pPr>
              <w:rPr>
                <w:rFonts w:ascii="Arial" w:hAnsi="Arial" w:cs="Arial"/>
                <w:sz w:val="20"/>
                <w:szCs w:val="20"/>
              </w:rPr>
            </w:pPr>
          </w:p>
        </w:tc>
        <w:tc>
          <w:tcPr>
            <w:tcW w:w="1273" w:type="dxa"/>
            <w:gridSpan w:val="2"/>
            <w:tcBorders>
              <w:top w:val="nil"/>
              <w:left w:val="nil"/>
              <w:bottom w:val="nil"/>
              <w:right w:val="nil"/>
            </w:tcBorders>
            <w:shd w:val="clear" w:color="auto" w:fill="auto"/>
            <w:noWrap/>
            <w:vAlign w:val="center"/>
          </w:tcPr>
          <w:p w:rsidR="001A3442" w:rsidRPr="00C01E5D" w:rsidRDefault="001A3442" w:rsidP="00565F7B">
            <w:pPr>
              <w:rPr>
                <w:rFonts w:ascii="Arial" w:hAnsi="Arial" w:cs="Arial"/>
                <w:sz w:val="20"/>
                <w:szCs w:val="20"/>
              </w:rPr>
            </w:pPr>
          </w:p>
        </w:tc>
        <w:tc>
          <w:tcPr>
            <w:tcW w:w="1055" w:type="dxa"/>
            <w:tcBorders>
              <w:top w:val="nil"/>
              <w:left w:val="nil"/>
              <w:bottom w:val="nil"/>
              <w:right w:val="nil"/>
            </w:tcBorders>
            <w:shd w:val="clear" w:color="auto" w:fill="auto"/>
            <w:noWrap/>
            <w:vAlign w:val="center"/>
          </w:tcPr>
          <w:p w:rsidR="001A3442" w:rsidRPr="00C01E5D" w:rsidRDefault="001A3442" w:rsidP="00565F7B">
            <w:pPr>
              <w:rPr>
                <w:rFonts w:ascii="Arial" w:hAnsi="Arial" w:cs="Arial"/>
                <w:sz w:val="20"/>
                <w:szCs w:val="20"/>
              </w:rPr>
            </w:pPr>
          </w:p>
        </w:tc>
        <w:tc>
          <w:tcPr>
            <w:tcW w:w="1540" w:type="dxa"/>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870" w:type="dxa"/>
            <w:gridSpan w:val="2"/>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788" w:type="dxa"/>
            <w:gridSpan w:val="3"/>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r>
    </w:tbl>
    <w:p w:rsidR="0062591D" w:rsidRPr="00AF5EF1" w:rsidRDefault="0062591D" w:rsidP="0062591D"/>
    <w:p w:rsidR="007B4C29" w:rsidRDefault="007B4C29" w:rsidP="0062591D"/>
    <w:p w:rsidR="005378DF" w:rsidRDefault="005378DF"/>
    <w:p w:rsidR="005378DF" w:rsidRDefault="005378DF"/>
    <w:p w:rsidR="005378DF" w:rsidRDefault="005378DF">
      <w:r>
        <w:t>Rengėjas:</w:t>
      </w:r>
    </w:p>
    <w:p w:rsidR="005378DF" w:rsidRDefault="005378DF">
      <w:r>
        <w:t xml:space="preserve">FBD Finansų skyriaus patarėja </w:t>
      </w:r>
      <w:proofErr w:type="spellStart"/>
      <w:r>
        <w:t>Ona.Jarašūnienė</w:t>
      </w:r>
      <w:proofErr w:type="spellEnd"/>
    </w:p>
    <w:p w:rsidR="005378DF" w:rsidRPr="00B308D3" w:rsidRDefault="005378DF" w:rsidP="005378DF">
      <w:pPr>
        <w:pStyle w:val="Heading2"/>
        <w:rPr>
          <w:rFonts w:ascii="Times New Roman" w:hAnsi="Times New Roman" w:cs="Times New Roman"/>
          <w:color w:val="auto"/>
          <w:sz w:val="24"/>
          <w:szCs w:val="24"/>
        </w:rPr>
      </w:pPr>
      <w:r w:rsidRPr="005378DF">
        <w:rPr>
          <w:rFonts w:ascii="Times New Roman" w:hAnsi="Times New Roman" w:cs="Times New Roman"/>
          <w:color w:val="auto"/>
          <w:sz w:val="24"/>
          <w:szCs w:val="24"/>
        </w:rPr>
        <w:t>El. paštas</w:t>
      </w:r>
      <w:r>
        <w:rPr>
          <w:rFonts w:ascii="Times New Roman" w:hAnsi="Times New Roman" w:cs="Times New Roman"/>
          <w:color w:val="auto"/>
          <w:sz w:val="24"/>
          <w:szCs w:val="24"/>
        </w:rPr>
        <w:t>:</w:t>
      </w:r>
      <w:r w:rsidRPr="005378DF">
        <w:rPr>
          <w:rFonts w:ascii="Times New Roman" w:hAnsi="Times New Roman" w:cs="Times New Roman"/>
          <w:color w:val="auto"/>
          <w:sz w:val="24"/>
          <w:szCs w:val="24"/>
        </w:rPr>
        <w:t xml:space="preserve"> </w:t>
      </w:r>
      <w:proofErr w:type="spellStart"/>
      <w:r w:rsidRPr="005378DF">
        <w:rPr>
          <w:rFonts w:ascii="Times New Roman" w:hAnsi="Times New Roman" w:cs="Times New Roman"/>
          <w:color w:val="auto"/>
          <w:sz w:val="24"/>
          <w:szCs w:val="24"/>
        </w:rPr>
        <w:t>ona.jarasuniene</w:t>
      </w:r>
      <w:proofErr w:type="spellEnd"/>
      <w:r w:rsidR="00B308D3">
        <w:rPr>
          <w:rFonts w:ascii="Times New Roman" w:hAnsi="Times New Roman" w:cs="Times New Roman"/>
          <w:color w:val="auto"/>
          <w:sz w:val="24"/>
          <w:szCs w:val="24"/>
          <w:lang w:val="en-US"/>
        </w:rPr>
        <w:t>@</w:t>
      </w:r>
      <w:proofErr w:type="spellStart"/>
      <w:r w:rsidR="00B308D3">
        <w:rPr>
          <w:rFonts w:ascii="Times New Roman" w:hAnsi="Times New Roman" w:cs="Times New Roman"/>
          <w:color w:val="auto"/>
          <w:sz w:val="24"/>
          <w:szCs w:val="24"/>
        </w:rPr>
        <w:t>kam.lt</w:t>
      </w:r>
      <w:proofErr w:type="spellEnd"/>
    </w:p>
    <w:sectPr w:rsidR="005378DF" w:rsidRPr="00B308D3" w:rsidSect="006E1D91">
      <w:footerReference w:type="even" r:id="rId8"/>
      <w:footerReference w:type="default" r:id="rId9"/>
      <w:pgSz w:w="16838" w:h="11906" w:orient="landscape"/>
      <w:pgMar w:top="794" w:right="397" w:bottom="357"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5E" w:rsidRDefault="0036573C">
      <w:r>
        <w:separator/>
      </w:r>
    </w:p>
  </w:endnote>
  <w:endnote w:type="continuationSeparator" w:id="0">
    <w:p w:rsidR="0069515E" w:rsidRDefault="0036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D89" w:rsidRDefault="0062591D" w:rsidP="00BB6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D89" w:rsidRDefault="00C06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D89" w:rsidRDefault="0062591D" w:rsidP="00BB6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716">
      <w:rPr>
        <w:rStyle w:val="PageNumber"/>
        <w:noProof/>
      </w:rPr>
      <w:t>7</w:t>
    </w:r>
    <w:r>
      <w:rPr>
        <w:rStyle w:val="PageNumber"/>
      </w:rPr>
      <w:fldChar w:fldCharType="end"/>
    </w:r>
  </w:p>
  <w:p w:rsidR="00125D89" w:rsidRDefault="00C06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5E" w:rsidRDefault="0036573C">
      <w:r>
        <w:separator/>
      </w:r>
    </w:p>
  </w:footnote>
  <w:footnote w:type="continuationSeparator" w:id="0">
    <w:p w:rsidR="0069515E" w:rsidRDefault="0036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246AC"/>
    <w:multiLevelType w:val="hybridMultilevel"/>
    <w:tmpl w:val="153CE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1D"/>
    <w:rsid w:val="00017EBE"/>
    <w:rsid w:val="000314FE"/>
    <w:rsid w:val="00045256"/>
    <w:rsid w:val="00051FA4"/>
    <w:rsid w:val="000A7044"/>
    <w:rsid w:val="000B32AF"/>
    <w:rsid w:val="000C76BF"/>
    <w:rsid w:val="000E1AFF"/>
    <w:rsid w:val="000E61F3"/>
    <w:rsid w:val="00113F42"/>
    <w:rsid w:val="00122CA4"/>
    <w:rsid w:val="001230A8"/>
    <w:rsid w:val="0014425E"/>
    <w:rsid w:val="00155593"/>
    <w:rsid w:val="001611D2"/>
    <w:rsid w:val="001625B8"/>
    <w:rsid w:val="0019369D"/>
    <w:rsid w:val="001944B2"/>
    <w:rsid w:val="001A3442"/>
    <w:rsid w:val="001E1629"/>
    <w:rsid w:val="00200C97"/>
    <w:rsid w:val="00214435"/>
    <w:rsid w:val="00215A30"/>
    <w:rsid w:val="00216F3E"/>
    <w:rsid w:val="00220105"/>
    <w:rsid w:val="00225793"/>
    <w:rsid w:val="00240B2F"/>
    <w:rsid w:val="002537B2"/>
    <w:rsid w:val="00261594"/>
    <w:rsid w:val="00272374"/>
    <w:rsid w:val="0028169D"/>
    <w:rsid w:val="0029069B"/>
    <w:rsid w:val="00291A1B"/>
    <w:rsid w:val="002A0C24"/>
    <w:rsid w:val="002C5D71"/>
    <w:rsid w:val="002E47E4"/>
    <w:rsid w:val="002E7A04"/>
    <w:rsid w:val="00302505"/>
    <w:rsid w:val="003368DC"/>
    <w:rsid w:val="00351C6A"/>
    <w:rsid w:val="00364DC9"/>
    <w:rsid w:val="0036573C"/>
    <w:rsid w:val="00377E76"/>
    <w:rsid w:val="00385A3D"/>
    <w:rsid w:val="00393837"/>
    <w:rsid w:val="003B0B3F"/>
    <w:rsid w:val="003E48B9"/>
    <w:rsid w:val="003E6434"/>
    <w:rsid w:val="004018F1"/>
    <w:rsid w:val="0042071F"/>
    <w:rsid w:val="00422B09"/>
    <w:rsid w:val="00431F0A"/>
    <w:rsid w:val="00466079"/>
    <w:rsid w:val="004E035F"/>
    <w:rsid w:val="004E071F"/>
    <w:rsid w:val="004E2A77"/>
    <w:rsid w:val="004E557C"/>
    <w:rsid w:val="0050298B"/>
    <w:rsid w:val="00514F9E"/>
    <w:rsid w:val="00536439"/>
    <w:rsid w:val="005378DF"/>
    <w:rsid w:val="00542C43"/>
    <w:rsid w:val="00553718"/>
    <w:rsid w:val="00554EA8"/>
    <w:rsid w:val="005618E9"/>
    <w:rsid w:val="00562FCE"/>
    <w:rsid w:val="00593814"/>
    <w:rsid w:val="005958BA"/>
    <w:rsid w:val="005C28AE"/>
    <w:rsid w:val="005D4E8B"/>
    <w:rsid w:val="005F2C92"/>
    <w:rsid w:val="00613A2D"/>
    <w:rsid w:val="0062591D"/>
    <w:rsid w:val="0064331C"/>
    <w:rsid w:val="00671649"/>
    <w:rsid w:val="00684D5C"/>
    <w:rsid w:val="00686B8E"/>
    <w:rsid w:val="0069515E"/>
    <w:rsid w:val="006A29F0"/>
    <w:rsid w:val="006D7087"/>
    <w:rsid w:val="00724258"/>
    <w:rsid w:val="00731D8F"/>
    <w:rsid w:val="00740B1E"/>
    <w:rsid w:val="00753C1C"/>
    <w:rsid w:val="00757381"/>
    <w:rsid w:val="0076074F"/>
    <w:rsid w:val="00773BD0"/>
    <w:rsid w:val="007840C5"/>
    <w:rsid w:val="0079086A"/>
    <w:rsid w:val="00796984"/>
    <w:rsid w:val="0079791C"/>
    <w:rsid w:val="007A174B"/>
    <w:rsid w:val="007A4702"/>
    <w:rsid w:val="007B1253"/>
    <w:rsid w:val="007B2E5B"/>
    <w:rsid w:val="007B4612"/>
    <w:rsid w:val="007B4C29"/>
    <w:rsid w:val="007C1B54"/>
    <w:rsid w:val="007E1BC8"/>
    <w:rsid w:val="007F111A"/>
    <w:rsid w:val="0081528A"/>
    <w:rsid w:val="00821A01"/>
    <w:rsid w:val="008314FA"/>
    <w:rsid w:val="00840F6B"/>
    <w:rsid w:val="00873F9F"/>
    <w:rsid w:val="00876819"/>
    <w:rsid w:val="00885005"/>
    <w:rsid w:val="00885453"/>
    <w:rsid w:val="008904B0"/>
    <w:rsid w:val="008C5B5F"/>
    <w:rsid w:val="008D2EF4"/>
    <w:rsid w:val="008F25C8"/>
    <w:rsid w:val="009379BB"/>
    <w:rsid w:val="0094641B"/>
    <w:rsid w:val="0096147D"/>
    <w:rsid w:val="00981F5E"/>
    <w:rsid w:val="00982CFF"/>
    <w:rsid w:val="009936B7"/>
    <w:rsid w:val="00994C3D"/>
    <w:rsid w:val="00995291"/>
    <w:rsid w:val="009B3E13"/>
    <w:rsid w:val="009C5C9A"/>
    <w:rsid w:val="009D01DC"/>
    <w:rsid w:val="009E5E28"/>
    <w:rsid w:val="009E6781"/>
    <w:rsid w:val="009F4862"/>
    <w:rsid w:val="009F6E3E"/>
    <w:rsid w:val="00A11CB3"/>
    <w:rsid w:val="00A33B6C"/>
    <w:rsid w:val="00A345D0"/>
    <w:rsid w:val="00A34678"/>
    <w:rsid w:val="00A352F4"/>
    <w:rsid w:val="00A547D7"/>
    <w:rsid w:val="00A676DB"/>
    <w:rsid w:val="00A71B2B"/>
    <w:rsid w:val="00A71EA7"/>
    <w:rsid w:val="00A82E80"/>
    <w:rsid w:val="00A842A3"/>
    <w:rsid w:val="00A90FD4"/>
    <w:rsid w:val="00A94AFE"/>
    <w:rsid w:val="00AD2D95"/>
    <w:rsid w:val="00B038BB"/>
    <w:rsid w:val="00B063CB"/>
    <w:rsid w:val="00B222CC"/>
    <w:rsid w:val="00B27EC2"/>
    <w:rsid w:val="00B308D3"/>
    <w:rsid w:val="00B312C1"/>
    <w:rsid w:val="00B361EB"/>
    <w:rsid w:val="00B5068C"/>
    <w:rsid w:val="00B81254"/>
    <w:rsid w:val="00BC0C12"/>
    <w:rsid w:val="00BC695B"/>
    <w:rsid w:val="00BE0EDE"/>
    <w:rsid w:val="00BF7316"/>
    <w:rsid w:val="00C01E5D"/>
    <w:rsid w:val="00C05E64"/>
    <w:rsid w:val="00C06716"/>
    <w:rsid w:val="00C14633"/>
    <w:rsid w:val="00C15F73"/>
    <w:rsid w:val="00C2330F"/>
    <w:rsid w:val="00C47906"/>
    <w:rsid w:val="00C676F1"/>
    <w:rsid w:val="00C73250"/>
    <w:rsid w:val="00CF3BD2"/>
    <w:rsid w:val="00D032EE"/>
    <w:rsid w:val="00D046B4"/>
    <w:rsid w:val="00D04BD5"/>
    <w:rsid w:val="00D04E56"/>
    <w:rsid w:val="00D05512"/>
    <w:rsid w:val="00D05EF6"/>
    <w:rsid w:val="00D0743E"/>
    <w:rsid w:val="00D25FF3"/>
    <w:rsid w:val="00D27E1A"/>
    <w:rsid w:val="00D44EDB"/>
    <w:rsid w:val="00D459F0"/>
    <w:rsid w:val="00D5119A"/>
    <w:rsid w:val="00D664AF"/>
    <w:rsid w:val="00D84536"/>
    <w:rsid w:val="00D871D6"/>
    <w:rsid w:val="00D97327"/>
    <w:rsid w:val="00DA0146"/>
    <w:rsid w:val="00DA5E95"/>
    <w:rsid w:val="00DC0291"/>
    <w:rsid w:val="00DD5AD0"/>
    <w:rsid w:val="00DF02D5"/>
    <w:rsid w:val="00E21AA1"/>
    <w:rsid w:val="00E36391"/>
    <w:rsid w:val="00E44BAA"/>
    <w:rsid w:val="00E63B00"/>
    <w:rsid w:val="00E707C0"/>
    <w:rsid w:val="00E73783"/>
    <w:rsid w:val="00E96445"/>
    <w:rsid w:val="00EA1EB5"/>
    <w:rsid w:val="00EC1B2A"/>
    <w:rsid w:val="00EC4CEE"/>
    <w:rsid w:val="00EE3A7B"/>
    <w:rsid w:val="00EE66BC"/>
    <w:rsid w:val="00EF2AD6"/>
    <w:rsid w:val="00EF6C98"/>
    <w:rsid w:val="00F14CA7"/>
    <w:rsid w:val="00F31B33"/>
    <w:rsid w:val="00F7397E"/>
    <w:rsid w:val="00F8326C"/>
    <w:rsid w:val="00F85F22"/>
    <w:rsid w:val="00FA6BD9"/>
    <w:rsid w:val="00FB4869"/>
    <w:rsid w:val="00FB790C"/>
    <w:rsid w:val="00FC0987"/>
    <w:rsid w:val="00FC0EDA"/>
    <w:rsid w:val="00FC522D"/>
    <w:rsid w:val="00FC615F"/>
    <w:rsid w:val="00FD45C5"/>
    <w:rsid w:val="00FD52CD"/>
    <w:rsid w:val="00FD69FA"/>
    <w:rsid w:val="00FD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0C95"/>
  <w15:docId w15:val="{45849716-28C8-4134-B00B-C0D4118C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1D"/>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uiPriority w:val="9"/>
    <w:unhideWhenUsed/>
    <w:qFormat/>
    <w:rsid w:val="005378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2591D"/>
    <w:pPr>
      <w:tabs>
        <w:tab w:val="center" w:pos="4819"/>
        <w:tab w:val="right" w:pos="9638"/>
      </w:tabs>
    </w:pPr>
  </w:style>
  <w:style w:type="character" w:customStyle="1" w:styleId="FooterChar">
    <w:name w:val="Footer Char"/>
    <w:basedOn w:val="DefaultParagraphFont"/>
    <w:link w:val="Footer"/>
    <w:rsid w:val="0062591D"/>
    <w:rPr>
      <w:rFonts w:ascii="Times New Roman" w:eastAsia="Times New Roman" w:hAnsi="Times New Roman" w:cs="Times New Roman"/>
      <w:sz w:val="24"/>
      <w:szCs w:val="24"/>
      <w:lang w:eastAsia="lt-LT"/>
    </w:rPr>
  </w:style>
  <w:style w:type="character" w:styleId="PageNumber">
    <w:name w:val="page number"/>
    <w:basedOn w:val="DefaultParagraphFont"/>
    <w:rsid w:val="0062591D"/>
  </w:style>
  <w:style w:type="paragraph" w:styleId="BodyTextIndent3">
    <w:name w:val="Body Text Indent 3"/>
    <w:basedOn w:val="Normal"/>
    <w:link w:val="BodyTextIndent3Char"/>
    <w:rsid w:val="0062591D"/>
    <w:pPr>
      <w:spacing w:after="120"/>
      <w:ind w:left="283"/>
    </w:pPr>
    <w:rPr>
      <w:sz w:val="16"/>
      <w:szCs w:val="16"/>
    </w:rPr>
  </w:style>
  <w:style w:type="character" w:customStyle="1" w:styleId="BodyTextIndent3Char">
    <w:name w:val="Body Text Indent 3 Char"/>
    <w:basedOn w:val="DefaultParagraphFont"/>
    <w:link w:val="BodyTextIndent3"/>
    <w:rsid w:val="0062591D"/>
    <w:rPr>
      <w:rFonts w:ascii="Times New Roman" w:eastAsia="Times New Roman" w:hAnsi="Times New Roman" w:cs="Times New Roman"/>
      <w:sz w:val="16"/>
      <w:szCs w:val="16"/>
      <w:lang w:eastAsia="lt-LT"/>
    </w:rPr>
  </w:style>
  <w:style w:type="character" w:customStyle="1" w:styleId="Heading2Char">
    <w:name w:val="Heading 2 Char"/>
    <w:basedOn w:val="DefaultParagraphFont"/>
    <w:link w:val="Heading2"/>
    <w:uiPriority w:val="9"/>
    <w:rsid w:val="005378DF"/>
    <w:rPr>
      <w:rFonts w:asciiTheme="majorHAnsi" w:eastAsiaTheme="majorEastAsia" w:hAnsiTheme="majorHAnsi" w:cstheme="majorBidi"/>
      <w:color w:val="365F91" w:themeColor="accent1" w:themeShade="BF"/>
      <w:sz w:val="26"/>
      <w:szCs w:val="26"/>
      <w:lang w:eastAsia="lt-LT"/>
    </w:rPr>
  </w:style>
  <w:style w:type="paragraph" w:styleId="ListParagraph">
    <w:name w:val="List Paragraph"/>
    <w:basedOn w:val="Normal"/>
    <w:uiPriority w:val="34"/>
    <w:qFormat/>
    <w:rsid w:val="0014425E"/>
    <w:pPr>
      <w:ind w:left="720"/>
      <w:contextualSpacing/>
    </w:pPr>
  </w:style>
  <w:style w:type="paragraph" w:customStyle="1" w:styleId="Default">
    <w:name w:val="Default"/>
    <w:rsid w:val="00C146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4272">
      <w:bodyDiv w:val="1"/>
      <w:marLeft w:val="0"/>
      <w:marRight w:val="0"/>
      <w:marTop w:val="0"/>
      <w:marBottom w:val="0"/>
      <w:divBdr>
        <w:top w:val="none" w:sz="0" w:space="0" w:color="auto"/>
        <w:left w:val="none" w:sz="0" w:space="0" w:color="auto"/>
        <w:bottom w:val="none" w:sz="0" w:space="0" w:color="auto"/>
        <w:right w:val="none" w:sz="0" w:space="0" w:color="auto"/>
      </w:divBdr>
      <w:divsChild>
        <w:div w:id="1583642325">
          <w:marLeft w:val="0"/>
          <w:marRight w:val="0"/>
          <w:marTop w:val="0"/>
          <w:marBottom w:val="0"/>
          <w:divBdr>
            <w:top w:val="none" w:sz="0" w:space="0" w:color="auto"/>
            <w:left w:val="none" w:sz="0" w:space="0" w:color="auto"/>
            <w:bottom w:val="none" w:sz="0" w:space="0" w:color="auto"/>
            <w:right w:val="none" w:sz="0" w:space="0" w:color="auto"/>
          </w:divBdr>
        </w:div>
        <w:div w:id="2145806140">
          <w:marLeft w:val="0"/>
          <w:marRight w:val="0"/>
          <w:marTop w:val="0"/>
          <w:marBottom w:val="0"/>
          <w:divBdr>
            <w:top w:val="none" w:sz="0" w:space="0" w:color="auto"/>
            <w:left w:val="none" w:sz="0" w:space="0" w:color="auto"/>
            <w:bottom w:val="none" w:sz="0" w:space="0" w:color="auto"/>
            <w:right w:val="none" w:sz="0" w:space="0" w:color="auto"/>
          </w:divBdr>
          <w:divsChild>
            <w:div w:id="1925408091">
              <w:marLeft w:val="0"/>
              <w:marRight w:val="0"/>
              <w:marTop w:val="0"/>
              <w:marBottom w:val="0"/>
              <w:divBdr>
                <w:top w:val="none" w:sz="0" w:space="0" w:color="auto"/>
                <w:left w:val="none" w:sz="0" w:space="0" w:color="auto"/>
                <w:bottom w:val="none" w:sz="0" w:space="0" w:color="auto"/>
                <w:right w:val="none" w:sz="0" w:space="0" w:color="auto"/>
              </w:divBdr>
            </w:div>
            <w:div w:id="222453602">
              <w:marLeft w:val="0"/>
              <w:marRight w:val="0"/>
              <w:marTop w:val="0"/>
              <w:marBottom w:val="0"/>
              <w:divBdr>
                <w:top w:val="none" w:sz="0" w:space="0" w:color="auto"/>
                <w:left w:val="none" w:sz="0" w:space="0" w:color="auto"/>
                <w:bottom w:val="none" w:sz="0" w:space="0" w:color="auto"/>
                <w:right w:val="none" w:sz="0" w:space="0" w:color="auto"/>
              </w:divBdr>
            </w:div>
            <w:div w:id="1695502298">
              <w:marLeft w:val="0"/>
              <w:marRight w:val="0"/>
              <w:marTop w:val="0"/>
              <w:marBottom w:val="0"/>
              <w:divBdr>
                <w:top w:val="none" w:sz="0" w:space="0" w:color="auto"/>
                <w:left w:val="none" w:sz="0" w:space="0" w:color="auto"/>
                <w:bottom w:val="none" w:sz="0" w:space="0" w:color="auto"/>
                <w:right w:val="none" w:sz="0" w:space="0" w:color="auto"/>
              </w:divBdr>
            </w:div>
            <w:div w:id="21137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3074">
      <w:bodyDiv w:val="1"/>
      <w:marLeft w:val="0"/>
      <w:marRight w:val="0"/>
      <w:marTop w:val="0"/>
      <w:marBottom w:val="0"/>
      <w:divBdr>
        <w:top w:val="none" w:sz="0" w:space="0" w:color="auto"/>
        <w:left w:val="none" w:sz="0" w:space="0" w:color="auto"/>
        <w:bottom w:val="none" w:sz="0" w:space="0" w:color="auto"/>
        <w:right w:val="none" w:sz="0" w:space="0" w:color="auto"/>
      </w:divBdr>
    </w:div>
    <w:div w:id="396051722">
      <w:bodyDiv w:val="1"/>
      <w:marLeft w:val="0"/>
      <w:marRight w:val="0"/>
      <w:marTop w:val="0"/>
      <w:marBottom w:val="0"/>
      <w:divBdr>
        <w:top w:val="none" w:sz="0" w:space="0" w:color="auto"/>
        <w:left w:val="none" w:sz="0" w:space="0" w:color="auto"/>
        <w:bottom w:val="none" w:sz="0" w:space="0" w:color="auto"/>
        <w:right w:val="none" w:sz="0" w:space="0" w:color="auto"/>
      </w:divBdr>
    </w:div>
    <w:div w:id="1052852207">
      <w:bodyDiv w:val="1"/>
      <w:marLeft w:val="0"/>
      <w:marRight w:val="0"/>
      <w:marTop w:val="0"/>
      <w:marBottom w:val="0"/>
      <w:divBdr>
        <w:top w:val="none" w:sz="0" w:space="0" w:color="auto"/>
        <w:left w:val="none" w:sz="0" w:space="0" w:color="auto"/>
        <w:bottom w:val="none" w:sz="0" w:space="0" w:color="auto"/>
        <w:right w:val="none" w:sz="0" w:space="0" w:color="auto"/>
      </w:divBdr>
    </w:div>
    <w:div w:id="1955166643">
      <w:bodyDiv w:val="1"/>
      <w:marLeft w:val="0"/>
      <w:marRight w:val="0"/>
      <w:marTop w:val="0"/>
      <w:marBottom w:val="0"/>
      <w:divBdr>
        <w:top w:val="none" w:sz="0" w:space="0" w:color="auto"/>
        <w:left w:val="none" w:sz="0" w:space="0" w:color="auto"/>
        <w:bottom w:val="none" w:sz="0" w:space="0" w:color="auto"/>
        <w:right w:val="none" w:sz="0" w:space="0" w:color="auto"/>
      </w:divBdr>
    </w:div>
    <w:div w:id="20972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16D45-3175-4AAE-8A52-08A7CEB9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1598</Words>
  <Characters>9111</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Ona Jarašūnienė</cp:lastModifiedBy>
  <cp:revision>21</cp:revision>
  <cp:lastPrinted>2019-10-30T12:56:00Z</cp:lastPrinted>
  <dcterms:created xsi:type="dcterms:W3CDTF">2024-07-31T07:07:00Z</dcterms:created>
  <dcterms:modified xsi:type="dcterms:W3CDTF">2024-11-11T12:48:00Z</dcterms:modified>
</cp:coreProperties>
</file>