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59449" w14:textId="77777777" w:rsidR="006969B9" w:rsidRDefault="006969B9" w:rsidP="006969B9">
      <w:pPr>
        <w:ind w:left="5904" w:firstLine="1296"/>
        <w:rPr>
          <w:b/>
          <w:bCs/>
          <w:iCs/>
          <w:lang w:eastAsia="lt-LT"/>
        </w:rPr>
      </w:pPr>
      <w:bookmarkStart w:id="0" w:name="_GoBack"/>
      <w:bookmarkEnd w:id="0"/>
      <w:r>
        <w:rPr>
          <w:b/>
          <w:bCs/>
          <w:iCs/>
          <w:lang w:eastAsia="lt-LT"/>
        </w:rPr>
        <w:t>Projekto</w:t>
      </w:r>
    </w:p>
    <w:p w14:paraId="32568EF6" w14:textId="77777777" w:rsidR="006969B9" w:rsidRDefault="006969B9" w:rsidP="006969B9">
      <w:pPr>
        <w:ind w:left="7200"/>
        <w:rPr>
          <w:b/>
          <w:bCs/>
          <w:iCs/>
          <w:lang w:eastAsia="lt-LT"/>
        </w:rPr>
      </w:pPr>
      <w:r>
        <w:rPr>
          <w:b/>
          <w:bCs/>
          <w:iCs/>
          <w:lang w:eastAsia="lt-LT"/>
        </w:rPr>
        <w:t>lyginamasis variantas</w:t>
      </w:r>
    </w:p>
    <w:p w14:paraId="535852A9" w14:textId="77777777" w:rsidR="006969B9" w:rsidRDefault="006969B9" w:rsidP="00120AB6">
      <w:pPr>
        <w:pStyle w:val="CommentText"/>
        <w:jc w:val="center"/>
        <w:rPr>
          <w:rFonts w:eastAsia="Andale Sans UI"/>
          <w:b/>
          <w:sz w:val="24"/>
          <w:szCs w:val="24"/>
          <w:lang w:bidi="en-US"/>
        </w:rPr>
      </w:pPr>
    </w:p>
    <w:p w14:paraId="4B541ADF" w14:textId="77777777" w:rsidR="006969B9" w:rsidRDefault="006969B9" w:rsidP="00120AB6">
      <w:pPr>
        <w:pStyle w:val="CommentText"/>
        <w:jc w:val="center"/>
        <w:rPr>
          <w:rFonts w:eastAsia="Andale Sans UI"/>
          <w:b/>
          <w:sz w:val="24"/>
          <w:szCs w:val="24"/>
          <w:lang w:bidi="en-US"/>
        </w:rPr>
      </w:pPr>
    </w:p>
    <w:p w14:paraId="5C5BA449" w14:textId="41383AD8" w:rsidR="00120AB6" w:rsidRPr="00120AB6" w:rsidRDefault="00120AB6" w:rsidP="00120AB6">
      <w:pPr>
        <w:pStyle w:val="CommentText"/>
        <w:jc w:val="center"/>
        <w:rPr>
          <w:b/>
        </w:rPr>
      </w:pPr>
      <w:r w:rsidRPr="00120AB6">
        <w:rPr>
          <w:rFonts w:eastAsia="Andale Sans UI"/>
          <w:b/>
          <w:sz w:val="24"/>
          <w:szCs w:val="24"/>
          <w:lang w:bidi="en-US"/>
        </w:rPr>
        <w:t xml:space="preserve">2023–2030 </w:t>
      </w:r>
      <w:r>
        <w:rPr>
          <w:rFonts w:eastAsia="Andale Sans UI"/>
          <w:b/>
          <w:sz w:val="24"/>
          <w:szCs w:val="24"/>
          <w:lang w:bidi="en-US"/>
        </w:rPr>
        <w:t xml:space="preserve">METŲ PLĖTROS PROGRAMOS VALDYTOJOS LIETUVOS RESPUBLIKOS KRAŠTO APSAUGOS MINISTERIJOS NACIONALINĖS KIBERNETINIO SAUGUMO PLĖTROS PROGRAMOS PAŽANGOS PRIEMONĖS NR. </w:t>
      </w:r>
      <w:r w:rsidRPr="00120AB6">
        <w:rPr>
          <w:b/>
          <w:color w:val="000000"/>
          <w:sz w:val="24"/>
          <w:szCs w:val="24"/>
        </w:rPr>
        <w:t>06-007-10-05-07 „S</w:t>
      </w:r>
      <w:r>
        <w:rPr>
          <w:b/>
          <w:color w:val="000000"/>
          <w:sz w:val="24"/>
          <w:szCs w:val="24"/>
        </w:rPr>
        <w:t>TIPRINTI KIBERNETINĮ ATSPARUMĄ</w:t>
      </w:r>
      <w:r w:rsidRPr="00120AB6">
        <w:rPr>
          <w:b/>
          <w:color w:val="000000"/>
          <w:sz w:val="24"/>
          <w:szCs w:val="24"/>
        </w:rPr>
        <w:t xml:space="preserve">“ </w:t>
      </w:r>
      <w:r>
        <w:rPr>
          <w:b/>
          <w:color w:val="000000"/>
          <w:sz w:val="24"/>
          <w:szCs w:val="24"/>
        </w:rPr>
        <w:t xml:space="preserve">APRAŠO PAGRINDIMAS </w:t>
      </w:r>
    </w:p>
    <w:p w14:paraId="0297DB25" w14:textId="77777777" w:rsidR="00A13816" w:rsidRPr="00974F0F" w:rsidRDefault="00A13816">
      <w:pPr>
        <w:jc w:val="center"/>
        <w:rPr>
          <w:b/>
          <w:szCs w:val="24"/>
        </w:rPr>
      </w:pPr>
    </w:p>
    <w:p w14:paraId="16BEBBA3" w14:textId="77777777" w:rsidR="00A13816" w:rsidRPr="00974F0F" w:rsidRDefault="00020307">
      <w:pPr>
        <w:jc w:val="center"/>
        <w:rPr>
          <w:b/>
          <w:szCs w:val="24"/>
        </w:rPr>
      </w:pPr>
      <w:r w:rsidRPr="00974F0F">
        <w:rPr>
          <w:b/>
          <w:szCs w:val="24"/>
        </w:rPr>
        <w:t>I SKYRIUS</w:t>
      </w:r>
    </w:p>
    <w:p w14:paraId="2E31219A" w14:textId="77777777" w:rsidR="00A13816" w:rsidRPr="00974F0F" w:rsidRDefault="00020307">
      <w:pPr>
        <w:jc w:val="center"/>
        <w:rPr>
          <w:b/>
          <w:szCs w:val="24"/>
        </w:rPr>
      </w:pPr>
      <w:r w:rsidRPr="00974F0F">
        <w:rPr>
          <w:b/>
          <w:szCs w:val="24"/>
        </w:rPr>
        <w:t>BENDROSIOS NUOSTATOS</w:t>
      </w:r>
    </w:p>
    <w:p w14:paraId="2DE2E311" w14:textId="77777777" w:rsidR="00A13816" w:rsidRPr="00974F0F" w:rsidRDefault="00A13816">
      <w:pPr>
        <w:jc w:val="center"/>
        <w:rPr>
          <w:b/>
          <w:szCs w:val="24"/>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34"/>
      </w:tblGrid>
      <w:tr w:rsidR="00A13816" w:rsidRPr="00974F0F" w14:paraId="4DFBF488" w14:textId="77777777" w:rsidTr="00951C6D">
        <w:trPr>
          <w:jc w:val="center"/>
        </w:trPr>
        <w:tc>
          <w:tcPr>
            <w:tcW w:w="2972" w:type="dxa"/>
            <w:shd w:val="clear" w:color="auto" w:fill="DBE5F1" w:themeFill="accent1" w:themeFillTint="33"/>
          </w:tcPr>
          <w:p w14:paraId="742DE002" w14:textId="77777777" w:rsidR="00A13816" w:rsidRPr="00974F0F" w:rsidRDefault="00020307">
            <w:pPr>
              <w:spacing w:line="276" w:lineRule="auto"/>
              <w:jc w:val="center"/>
              <w:rPr>
                <w:b/>
                <w:szCs w:val="24"/>
              </w:rPr>
            </w:pPr>
            <w:r w:rsidRPr="00974F0F">
              <w:rPr>
                <w:b/>
                <w:szCs w:val="24"/>
              </w:rPr>
              <w:t>Plėtros programos pažangos priemonės kodas ir pavadinimas</w:t>
            </w:r>
          </w:p>
        </w:tc>
        <w:tc>
          <w:tcPr>
            <w:tcW w:w="6634" w:type="dxa"/>
            <w:vAlign w:val="center"/>
          </w:tcPr>
          <w:p w14:paraId="1EFF94CB" w14:textId="77777777" w:rsidR="001D0BA2" w:rsidRPr="00974F0F" w:rsidRDefault="001D0BA2">
            <w:pPr>
              <w:spacing w:line="276" w:lineRule="auto"/>
              <w:jc w:val="both"/>
              <w:rPr>
                <w:b/>
                <w:i/>
                <w:color w:val="808080"/>
                <w:szCs w:val="24"/>
              </w:rPr>
            </w:pPr>
            <w:r w:rsidRPr="00974F0F">
              <w:rPr>
                <w:rFonts w:eastAsia="Calibri"/>
                <w:b/>
                <w:szCs w:val="24"/>
              </w:rPr>
              <w:t>06-007-10-05-07</w:t>
            </w:r>
            <w:r w:rsidRPr="00974F0F" w:rsidDel="00D91F88">
              <w:rPr>
                <w:rFonts w:eastAsia="Calibri"/>
                <w:b/>
                <w:szCs w:val="24"/>
              </w:rPr>
              <w:t xml:space="preserve"> </w:t>
            </w:r>
            <w:r w:rsidRPr="00974F0F">
              <w:rPr>
                <w:rFonts w:eastAsia="Calibri"/>
                <w:b/>
                <w:szCs w:val="24"/>
              </w:rPr>
              <w:t>„Stiprinti kibernetinį atsparumą“</w:t>
            </w:r>
          </w:p>
        </w:tc>
      </w:tr>
      <w:tr w:rsidR="00A13816" w:rsidRPr="00974F0F" w14:paraId="7A271578" w14:textId="77777777" w:rsidTr="00951C6D">
        <w:trPr>
          <w:jc w:val="center"/>
        </w:trPr>
        <w:tc>
          <w:tcPr>
            <w:tcW w:w="2972" w:type="dxa"/>
            <w:shd w:val="clear" w:color="auto" w:fill="DBE5F1" w:themeFill="accent1" w:themeFillTint="33"/>
          </w:tcPr>
          <w:p w14:paraId="55E0D581" w14:textId="77777777" w:rsidR="00A13816" w:rsidRPr="00974F0F" w:rsidRDefault="00020307">
            <w:pPr>
              <w:spacing w:line="276" w:lineRule="auto"/>
              <w:jc w:val="center"/>
              <w:rPr>
                <w:b/>
                <w:szCs w:val="24"/>
              </w:rPr>
            </w:pPr>
            <w:r w:rsidRPr="00974F0F">
              <w:rPr>
                <w:b/>
                <w:szCs w:val="24"/>
              </w:rPr>
              <w:t>Nacionalinio pažangos plano uždavinys</w:t>
            </w:r>
          </w:p>
        </w:tc>
        <w:tc>
          <w:tcPr>
            <w:tcW w:w="6634" w:type="dxa"/>
            <w:vAlign w:val="center"/>
          </w:tcPr>
          <w:p w14:paraId="1374928E" w14:textId="77777777" w:rsidR="001D0BA2" w:rsidRPr="00974F0F" w:rsidRDefault="001D0BA2" w:rsidP="001D0BA2">
            <w:pPr>
              <w:pStyle w:val="CommentText"/>
              <w:jc w:val="both"/>
              <w:rPr>
                <w:b/>
                <w:i/>
                <w:color w:val="808080"/>
                <w:sz w:val="24"/>
                <w:szCs w:val="24"/>
              </w:rPr>
            </w:pPr>
            <w:r w:rsidRPr="00974F0F">
              <w:rPr>
                <w:b/>
                <w:sz w:val="24"/>
                <w:szCs w:val="24"/>
                <w:lang w:eastAsia="lt-LT"/>
              </w:rPr>
              <w:t>10.5 uždavinys „Stiprinti kibernetinį saugumą ir gynybą“</w:t>
            </w:r>
          </w:p>
        </w:tc>
      </w:tr>
      <w:tr w:rsidR="00A13816" w:rsidRPr="00974F0F" w14:paraId="51178876" w14:textId="77777777" w:rsidTr="00951C6D">
        <w:trPr>
          <w:jc w:val="center"/>
        </w:trPr>
        <w:tc>
          <w:tcPr>
            <w:tcW w:w="2972" w:type="dxa"/>
            <w:shd w:val="clear" w:color="auto" w:fill="DBE5F1" w:themeFill="accent1" w:themeFillTint="33"/>
          </w:tcPr>
          <w:p w14:paraId="486F8C29" w14:textId="77777777" w:rsidR="00A13816" w:rsidRPr="00974F0F" w:rsidRDefault="00020307">
            <w:pPr>
              <w:spacing w:line="276" w:lineRule="auto"/>
              <w:jc w:val="center"/>
              <w:rPr>
                <w:b/>
                <w:szCs w:val="24"/>
              </w:rPr>
            </w:pPr>
            <w:r w:rsidRPr="00974F0F">
              <w:rPr>
                <w:b/>
                <w:szCs w:val="24"/>
              </w:rPr>
              <w:t xml:space="preserve">Plėtros programa </w:t>
            </w:r>
          </w:p>
        </w:tc>
        <w:tc>
          <w:tcPr>
            <w:tcW w:w="6634" w:type="dxa"/>
            <w:vAlign w:val="center"/>
          </w:tcPr>
          <w:p w14:paraId="73605130" w14:textId="35F47381" w:rsidR="001D0BA2" w:rsidRPr="00974F0F" w:rsidRDefault="003271AD" w:rsidP="009A3D88">
            <w:pPr>
              <w:spacing w:line="276" w:lineRule="auto"/>
              <w:jc w:val="both"/>
              <w:rPr>
                <w:b/>
                <w:i/>
                <w:color w:val="808080"/>
                <w:szCs w:val="24"/>
              </w:rPr>
            </w:pPr>
            <w:r w:rsidRPr="00974F0F">
              <w:rPr>
                <w:b/>
                <w:szCs w:val="24"/>
                <w:lang w:eastAsia="lt-LT"/>
              </w:rPr>
              <w:t>2023</w:t>
            </w:r>
            <w:r w:rsidR="009A3D88">
              <w:rPr>
                <w:b/>
                <w:szCs w:val="24"/>
                <w:lang w:eastAsia="lt-LT"/>
              </w:rPr>
              <w:t>–</w:t>
            </w:r>
            <w:r w:rsidRPr="00974F0F">
              <w:rPr>
                <w:b/>
                <w:szCs w:val="24"/>
                <w:lang w:eastAsia="lt-LT"/>
              </w:rPr>
              <w:t>2030 m</w:t>
            </w:r>
            <w:r w:rsidR="0050165F" w:rsidRPr="00974F0F">
              <w:rPr>
                <w:b/>
                <w:szCs w:val="24"/>
                <w:lang w:eastAsia="lt-LT"/>
              </w:rPr>
              <w:t>etų plėtros programos valdytojos Lietuvos Respublikos krašto apsaugos ministerijos</w:t>
            </w:r>
            <w:r w:rsidRPr="00974F0F">
              <w:rPr>
                <w:b/>
                <w:szCs w:val="24"/>
                <w:lang w:eastAsia="lt-LT"/>
              </w:rPr>
              <w:t xml:space="preserve"> n</w:t>
            </w:r>
            <w:r w:rsidR="001D0BA2" w:rsidRPr="00974F0F">
              <w:rPr>
                <w:b/>
                <w:szCs w:val="24"/>
                <w:lang w:eastAsia="lt-LT"/>
              </w:rPr>
              <w:t>acionalinė kibernetinio saugumo plėtros programa</w:t>
            </w:r>
            <w:r w:rsidR="001D0BA2" w:rsidRPr="00974F0F">
              <w:rPr>
                <w:b/>
                <w:i/>
                <w:color w:val="808080"/>
                <w:szCs w:val="24"/>
              </w:rPr>
              <w:t xml:space="preserve"> </w:t>
            </w:r>
          </w:p>
        </w:tc>
      </w:tr>
      <w:tr w:rsidR="00A13816" w:rsidRPr="00974F0F" w14:paraId="35441992" w14:textId="77777777" w:rsidTr="00951C6D">
        <w:trPr>
          <w:jc w:val="center"/>
        </w:trPr>
        <w:tc>
          <w:tcPr>
            <w:tcW w:w="2972" w:type="dxa"/>
            <w:shd w:val="clear" w:color="auto" w:fill="DBE5F1" w:themeFill="accent1" w:themeFillTint="33"/>
          </w:tcPr>
          <w:p w14:paraId="0EDAF19C" w14:textId="77777777" w:rsidR="00A13816" w:rsidRPr="00974F0F" w:rsidRDefault="00020307">
            <w:pPr>
              <w:spacing w:line="276" w:lineRule="auto"/>
              <w:jc w:val="center"/>
              <w:rPr>
                <w:b/>
                <w:szCs w:val="24"/>
              </w:rPr>
            </w:pPr>
            <w:r w:rsidRPr="00974F0F">
              <w:rPr>
                <w:b/>
                <w:szCs w:val="24"/>
              </w:rPr>
              <w:t>Atsakinga institucija (koordinuojančioji institucija)</w:t>
            </w:r>
          </w:p>
        </w:tc>
        <w:tc>
          <w:tcPr>
            <w:tcW w:w="6634" w:type="dxa"/>
            <w:vAlign w:val="center"/>
          </w:tcPr>
          <w:p w14:paraId="6EC922AC" w14:textId="77777777" w:rsidR="001D0BA2" w:rsidRPr="00974F0F" w:rsidRDefault="001D0BA2" w:rsidP="001D0BA2">
            <w:pPr>
              <w:pStyle w:val="CommentText"/>
              <w:jc w:val="both"/>
              <w:rPr>
                <w:b/>
                <w:i/>
                <w:color w:val="808080"/>
                <w:sz w:val="24"/>
                <w:szCs w:val="24"/>
              </w:rPr>
            </w:pPr>
            <w:r w:rsidRPr="00974F0F">
              <w:rPr>
                <w:b/>
                <w:sz w:val="24"/>
                <w:szCs w:val="24"/>
                <w:lang w:eastAsia="lt-LT"/>
              </w:rPr>
              <w:t>Lietuvos Respublikos krašto apsaugos ministerija</w:t>
            </w:r>
            <w:r w:rsidRPr="00974F0F">
              <w:rPr>
                <w:b/>
                <w:i/>
                <w:color w:val="808080"/>
                <w:sz w:val="24"/>
                <w:szCs w:val="24"/>
              </w:rPr>
              <w:t xml:space="preserve"> </w:t>
            </w:r>
          </w:p>
        </w:tc>
      </w:tr>
    </w:tbl>
    <w:p w14:paraId="1095C970" w14:textId="77777777" w:rsidR="00A13816" w:rsidRPr="00974F0F" w:rsidRDefault="00A13816">
      <w:pPr>
        <w:ind w:firstLine="567"/>
        <w:rPr>
          <w:b/>
          <w:szCs w:val="24"/>
        </w:rPr>
      </w:pPr>
    </w:p>
    <w:p w14:paraId="21E2FC5E" w14:textId="77777777" w:rsidR="00A13816" w:rsidRPr="00974F0F" w:rsidRDefault="00A13816">
      <w:pPr>
        <w:rPr>
          <w:szCs w:val="24"/>
        </w:rPr>
      </w:pPr>
    </w:p>
    <w:p w14:paraId="1BF87698" w14:textId="77777777" w:rsidR="00A13816" w:rsidRPr="00974F0F" w:rsidRDefault="00020307">
      <w:pPr>
        <w:jc w:val="center"/>
        <w:rPr>
          <w:b/>
          <w:bCs/>
          <w:szCs w:val="24"/>
        </w:rPr>
      </w:pPr>
      <w:r w:rsidRPr="00974F0F">
        <w:rPr>
          <w:b/>
          <w:bCs/>
          <w:szCs w:val="24"/>
        </w:rPr>
        <w:t>II SKYRIUS</w:t>
      </w:r>
    </w:p>
    <w:p w14:paraId="25EA73E5" w14:textId="77777777" w:rsidR="00A13816" w:rsidRPr="00974F0F" w:rsidRDefault="00020307">
      <w:pPr>
        <w:jc w:val="center"/>
        <w:rPr>
          <w:b/>
          <w:bCs/>
          <w:szCs w:val="24"/>
        </w:rPr>
      </w:pPr>
      <w:r w:rsidRPr="00974F0F">
        <w:rPr>
          <w:b/>
          <w:bCs/>
          <w:szCs w:val="24"/>
        </w:rPr>
        <w:t>SIEKIAMAS POKYTIS</w:t>
      </w:r>
    </w:p>
    <w:p w14:paraId="2E6CE764" w14:textId="77777777" w:rsidR="00A13816" w:rsidRPr="00974F0F" w:rsidRDefault="00A13816">
      <w:pPr>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3816" w:rsidRPr="00974F0F" w14:paraId="48F7C0AE" w14:textId="77777777" w:rsidTr="00A03AFC">
        <w:tc>
          <w:tcPr>
            <w:tcW w:w="0" w:type="auto"/>
            <w:shd w:val="clear" w:color="auto" w:fill="DBE5F1" w:themeFill="accent1" w:themeFillTint="33"/>
          </w:tcPr>
          <w:p w14:paraId="22F5C0F2" w14:textId="77777777" w:rsidR="00A13816" w:rsidRPr="00974F0F" w:rsidRDefault="00020307">
            <w:pPr>
              <w:keepNext/>
              <w:keepLines/>
              <w:jc w:val="center"/>
              <w:rPr>
                <w:caps/>
                <w:szCs w:val="24"/>
              </w:rPr>
            </w:pPr>
            <w:r w:rsidRPr="00974F0F">
              <w:rPr>
                <w:b/>
                <w:bCs/>
                <w:caps/>
                <w:szCs w:val="24"/>
              </w:rPr>
              <w:t>PLĖTROS PROGRAMOS PAŽANGOS Priemonės laukiamAS pokyTIS</w:t>
            </w:r>
          </w:p>
        </w:tc>
      </w:tr>
      <w:tr w:rsidR="00A13816" w:rsidRPr="00974F0F" w14:paraId="078171AB" w14:textId="77777777" w:rsidTr="00E0669A">
        <w:trPr>
          <w:trHeight w:val="3121"/>
        </w:trPr>
        <w:tc>
          <w:tcPr>
            <w:tcW w:w="0" w:type="auto"/>
          </w:tcPr>
          <w:p w14:paraId="003DCBF4" w14:textId="1E8A17D3" w:rsidR="00A03AFC" w:rsidRPr="00974F0F" w:rsidRDefault="00A03AFC" w:rsidP="00A03AFC">
            <w:pPr>
              <w:tabs>
                <w:tab w:val="left" w:pos="595"/>
              </w:tabs>
              <w:spacing w:after="80"/>
              <w:jc w:val="center"/>
              <w:rPr>
                <w:rFonts w:eastAsia="Calibri"/>
                <w:b/>
                <w:bCs/>
                <w:szCs w:val="24"/>
              </w:rPr>
            </w:pPr>
            <w:r w:rsidRPr="00974F0F">
              <w:rPr>
                <w:rFonts w:eastAsia="Calibri"/>
                <w:b/>
                <w:bCs/>
                <w:szCs w:val="24"/>
              </w:rPr>
              <w:t>Problemos ir priežastys, kurio</w:t>
            </w:r>
            <w:r w:rsidR="00B706E0">
              <w:rPr>
                <w:rFonts w:eastAsia="Calibri"/>
                <w:b/>
                <w:bCs/>
                <w:szCs w:val="24"/>
              </w:rPr>
              <w:t>m</w:t>
            </w:r>
            <w:r w:rsidRPr="00974F0F">
              <w:rPr>
                <w:rFonts w:eastAsia="Calibri"/>
                <w:b/>
                <w:bCs/>
                <w:szCs w:val="24"/>
              </w:rPr>
              <w:t>s spr</w:t>
            </w:r>
            <w:r w:rsidR="00B706E0">
              <w:rPr>
                <w:rFonts w:eastAsia="Calibri"/>
                <w:b/>
                <w:bCs/>
                <w:szCs w:val="24"/>
              </w:rPr>
              <w:t>ęsti skirta</w:t>
            </w:r>
            <w:r w:rsidRPr="00974F0F">
              <w:rPr>
                <w:rFonts w:eastAsia="Calibri"/>
                <w:b/>
                <w:bCs/>
                <w:szCs w:val="24"/>
              </w:rPr>
              <w:t xml:space="preserve"> priemon</w:t>
            </w:r>
            <w:r w:rsidR="00B706E0">
              <w:rPr>
                <w:rFonts w:eastAsia="Calibri"/>
                <w:b/>
                <w:bCs/>
                <w:szCs w:val="24"/>
              </w:rPr>
              <w:t>ė</w:t>
            </w:r>
          </w:p>
          <w:p w14:paraId="7DEBB06A" w14:textId="7DFFE271" w:rsidR="00A03AFC" w:rsidRPr="00974F0F" w:rsidRDefault="00A03AFC" w:rsidP="00A03AFC">
            <w:pPr>
              <w:ind w:firstLine="516"/>
              <w:jc w:val="both"/>
              <w:rPr>
                <w:bCs/>
                <w:szCs w:val="24"/>
              </w:rPr>
            </w:pPr>
            <w:r w:rsidRPr="00974F0F">
              <w:rPr>
                <w:bCs/>
                <w:szCs w:val="24"/>
              </w:rPr>
              <w:t xml:space="preserve">Pažangos priemonės įgyvendinimas sprendžia </w:t>
            </w:r>
            <w:r w:rsidRPr="00974F0F">
              <w:rPr>
                <w:b/>
                <w:bCs/>
                <w:szCs w:val="24"/>
              </w:rPr>
              <w:t>2023–2030</w:t>
            </w:r>
            <w:r w:rsidRPr="00974F0F">
              <w:rPr>
                <w:bCs/>
                <w:szCs w:val="24"/>
              </w:rPr>
              <w:t xml:space="preserve"> </w:t>
            </w:r>
            <w:r w:rsidR="0050165F" w:rsidRPr="00974F0F">
              <w:rPr>
                <w:b/>
                <w:szCs w:val="24"/>
                <w:lang w:eastAsia="lt-LT"/>
              </w:rPr>
              <w:t>metų plėtros programos valdytojos Lietuvos Respublikos krašto apsaugos ministerijos</w:t>
            </w:r>
            <w:r w:rsidR="0050165F" w:rsidRPr="00974F0F">
              <w:rPr>
                <w:bCs/>
                <w:szCs w:val="24"/>
              </w:rPr>
              <w:t xml:space="preserve"> </w:t>
            </w:r>
            <w:r w:rsidRPr="00974F0F">
              <w:rPr>
                <w:bCs/>
                <w:szCs w:val="24"/>
              </w:rPr>
              <w:t xml:space="preserve">nacionalinėje kibernetinio saugumo plėtros programoje </w:t>
            </w:r>
            <w:r w:rsidR="0050165F" w:rsidRPr="00CD2BFA">
              <w:rPr>
                <w:bCs/>
                <w:szCs w:val="24"/>
              </w:rPr>
              <w:t xml:space="preserve">(toliau </w:t>
            </w:r>
            <w:r w:rsidR="00FC703E" w:rsidRPr="00CD2BFA">
              <w:rPr>
                <w:bCs/>
                <w:szCs w:val="24"/>
              </w:rPr>
              <w:t>–</w:t>
            </w:r>
            <w:r w:rsidR="0050165F" w:rsidRPr="00CD2BFA">
              <w:rPr>
                <w:bCs/>
                <w:szCs w:val="24"/>
              </w:rPr>
              <w:t xml:space="preserve"> </w:t>
            </w:r>
            <w:r w:rsidR="00FC703E" w:rsidRPr="00CD2BFA">
              <w:rPr>
                <w:bCs/>
                <w:szCs w:val="24"/>
              </w:rPr>
              <w:t>KS PP)</w:t>
            </w:r>
            <w:r w:rsidRPr="00974F0F">
              <w:rPr>
                <w:bCs/>
                <w:szCs w:val="24"/>
              </w:rPr>
              <w:t xml:space="preserve"> </w:t>
            </w:r>
            <w:r w:rsidR="00B706E0">
              <w:rPr>
                <w:bCs/>
                <w:szCs w:val="24"/>
              </w:rPr>
              <w:t>nurodytą</w:t>
            </w:r>
            <w:r w:rsidR="00B706E0" w:rsidRPr="00974F0F">
              <w:rPr>
                <w:bCs/>
                <w:szCs w:val="24"/>
              </w:rPr>
              <w:t xml:space="preserve"> </w:t>
            </w:r>
            <w:r w:rsidRPr="00974F0F">
              <w:rPr>
                <w:bCs/>
                <w:szCs w:val="24"/>
              </w:rPr>
              <w:t xml:space="preserve">problemą – </w:t>
            </w:r>
            <w:r w:rsidR="00B706E0">
              <w:rPr>
                <w:b/>
                <w:bCs/>
                <w:szCs w:val="24"/>
              </w:rPr>
              <w:t>d</w:t>
            </w:r>
            <w:r w:rsidRPr="00974F0F">
              <w:rPr>
                <w:b/>
                <w:bCs/>
                <w:szCs w:val="24"/>
              </w:rPr>
              <w:t>ėl pasikeitusių kibernetinių grėsmių pobūdžio ir augančio jų masto mažėjant</w:t>
            </w:r>
            <w:r w:rsidR="00B706E0">
              <w:rPr>
                <w:b/>
                <w:bCs/>
                <w:szCs w:val="24"/>
              </w:rPr>
              <w:t>į</w:t>
            </w:r>
            <w:r w:rsidRPr="00974F0F">
              <w:rPr>
                <w:b/>
                <w:bCs/>
                <w:szCs w:val="24"/>
              </w:rPr>
              <w:t xml:space="preserve"> šalies kibernetin</w:t>
            </w:r>
            <w:r w:rsidR="00B706E0">
              <w:rPr>
                <w:b/>
                <w:bCs/>
                <w:szCs w:val="24"/>
              </w:rPr>
              <w:t>į</w:t>
            </w:r>
            <w:r w:rsidRPr="00974F0F">
              <w:rPr>
                <w:b/>
                <w:bCs/>
                <w:szCs w:val="24"/>
              </w:rPr>
              <w:t xml:space="preserve"> atsparum</w:t>
            </w:r>
            <w:r w:rsidR="00B706E0">
              <w:rPr>
                <w:b/>
                <w:bCs/>
                <w:szCs w:val="24"/>
              </w:rPr>
              <w:t>ą</w:t>
            </w:r>
            <w:r w:rsidRPr="00974F0F">
              <w:rPr>
                <w:bCs/>
                <w:szCs w:val="24"/>
              </w:rPr>
              <w:t xml:space="preserve">, taip pat sukuria prielaidas </w:t>
            </w:r>
            <w:r w:rsidR="00B706E0">
              <w:rPr>
                <w:bCs/>
                <w:szCs w:val="24"/>
              </w:rPr>
              <w:t>šalinti</w:t>
            </w:r>
            <w:r w:rsidR="00B706E0" w:rsidRPr="00974F0F">
              <w:rPr>
                <w:bCs/>
                <w:szCs w:val="24"/>
              </w:rPr>
              <w:t xml:space="preserve"> </w:t>
            </w:r>
            <w:r w:rsidR="001D0D3E" w:rsidRPr="00974F0F">
              <w:rPr>
                <w:bCs/>
                <w:szCs w:val="24"/>
                <w:u w:val="single"/>
              </w:rPr>
              <w:t>4 pagrindines</w:t>
            </w:r>
            <w:r w:rsidR="001D0D3E" w:rsidRPr="00974F0F">
              <w:rPr>
                <w:bCs/>
                <w:szCs w:val="24"/>
              </w:rPr>
              <w:t xml:space="preserve"> </w:t>
            </w:r>
            <w:r w:rsidRPr="00974F0F">
              <w:rPr>
                <w:bCs/>
                <w:szCs w:val="24"/>
              </w:rPr>
              <w:t>šios problemos atsiradimo priežastis:</w:t>
            </w:r>
          </w:p>
          <w:p w14:paraId="16066FF8" w14:textId="77777777" w:rsidR="00E0669A" w:rsidRPr="00974F0F" w:rsidRDefault="00E0669A" w:rsidP="00A03AFC">
            <w:pPr>
              <w:ind w:firstLine="516"/>
              <w:jc w:val="both"/>
              <w:rPr>
                <w:bCs/>
                <w:szCs w:val="24"/>
              </w:rPr>
            </w:pPr>
          </w:p>
          <w:p w14:paraId="346FA8D5" w14:textId="5C9F0D4C" w:rsidR="001D0BA2" w:rsidRPr="00974F0F" w:rsidRDefault="00816D65" w:rsidP="00974F0F">
            <w:pPr>
              <w:pStyle w:val="ListParagraph"/>
              <w:numPr>
                <w:ilvl w:val="0"/>
                <w:numId w:val="2"/>
              </w:numPr>
              <w:tabs>
                <w:tab w:val="left" w:pos="318"/>
                <w:tab w:val="left" w:pos="459"/>
                <w:tab w:val="left" w:pos="601"/>
              </w:tabs>
              <w:spacing w:after="80"/>
              <w:ind w:left="34" w:firstLine="284"/>
              <w:jc w:val="both"/>
              <w:rPr>
                <w:rFonts w:eastAsia="Calibri"/>
                <w:b/>
                <w:bCs/>
                <w:i/>
                <w:szCs w:val="24"/>
                <w:u w:val="single"/>
              </w:rPr>
            </w:pPr>
            <w:r w:rsidRPr="00974F0F">
              <w:rPr>
                <w:rFonts w:eastAsia="Calibri"/>
                <w:bCs/>
                <w:szCs w:val="24"/>
              </w:rPr>
              <w:t xml:space="preserve">  </w:t>
            </w:r>
            <w:r w:rsidR="001D0BA2" w:rsidRPr="00974F0F">
              <w:rPr>
                <w:rFonts w:eastAsia="Calibri"/>
                <w:b/>
                <w:bCs/>
                <w:szCs w:val="24"/>
                <w:u w:val="single"/>
              </w:rPr>
              <w:t>Esamas kibernetinio saugumo modelis netinkamas augančiai kibernetinio saugumo sričiai</w:t>
            </w:r>
          </w:p>
          <w:p w14:paraId="3AACC9B2" w14:textId="5CCE0D60" w:rsidR="00BE123C" w:rsidRPr="00974F0F" w:rsidRDefault="00560CE7" w:rsidP="00BE123C">
            <w:pPr>
              <w:pStyle w:val="ListParagraph"/>
              <w:numPr>
                <w:ilvl w:val="1"/>
                <w:numId w:val="2"/>
              </w:numPr>
              <w:tabs>
                <w:tab w:val="left" w:pos="484"/>
                <w:tab w:val="left" w:pos="739"/>
              </w:tabs>
              <w:ind w:left="30" w:firstLine="282"/>
              <w:jc w:val="both"/>
              <w:rPr>
                <w:rFonts w:eastAsia="Calibri"/>
                <w:b/>
                <w:bCs/>
                <w:szCs w:val="24"/>
              </w:rPr>
            </w:pPr>
            <w:r w:rsidRPr="00974F0F">
              <w:rPr>
                <w:rFonts w:eastAsia="Calibri"/>
                <w:b/>
                <w:bCs/>
                <w:szCs w:val="24"/>
              </w:rPr>
              <w:t>Plečiantis kibernetinio saugumo taikymo sričiai trūksta kibernetinio saugumo politikos įgyvendinimo procese dalyvaujančių suinteresuotųjų subjektų</w:t>
            </w:r>
          </w:p>
          <w:p w14:paraId="11C29519" w14:textId="35FB0813" w:rsidR="00560CE7" w:rsidRPr="00974F0F" w:rsidRDefault="00560CE7" w:rsidP="00BE123C">
            <w:pPr>
              <w:pStyle w:val="ListParagraph"/>
              <w:tabs>
                <w:tab w:val="left" w:pos="484"/>
                <w:tab w:val="left" w:pos="739"/>
              </w:tabs>
              <w:ind w:left="0" w:firstLine="312"/>
              <w:jc w:val="both"/>
              <w:rPr>
                <w:rFonts w:eastAsia="Calibri"/>
                <w:bCs/>
                <w:szCs w:val="24"/>
              </w:rPr>
            </w:pPr>
            <w:r w:rsidRPr="00974F0F">
              <w:rPr>
                <w:rFonts w:eastAsia="Calibri"/>
                <w:bCs/>
                <w:szCs w:val="24"/>
              </w:rPr>
              <w:t>Europos Parlamentas ir Taryba 2022 m. pabaigoje priėmė direktyvą</w:t>
            </w:r>
            <w:r w:rsidR="00227D8F" w:rsidRPr="00974F0F">
              <w:rPr>
                <w:rFonts w:eastAsia="Calibri"/>
                <w:bCs/>
                <w:szCs w:val="24"/>
              </w:rPr>
              <w:t xml:space="preserve"> ES</w:t>
            </w:r>
            <w:r w:rsidRPr="00974F0F">
              <w:rPr>
                <w:rFonts w:eastAsia="Calibri"/>
                <w:bCs/>
                <w:szCs w:val="24"/>
              </w:rPr>
              <w:t xml:space="preserve"> </w:t>
            </w:r>
            <w:r w:rsidR="00227D8F" w:rsidRPr="00974F0F">
              <w:rPr>
                <w:szCs w:val="24"/>
              </w:rPr>
              <w:t>2022/2555</w:t>
            </w:r>
            <w:r w:rsidR="00227D8F" w:rsidRPr="00974F0F">
              <w:rPr>
                <w:szCs w:val="24"/>
                <w:vertAlign w:val="superscript"/>
              </w:rPr>
              <w:footnoteReference w:id="1"/>
            </w:r>
            <w:r w:rsidRPr="00974F0F">
              <w:rPr>
                <w:rFonts w:eastAsia="Calibri"/>
                <w:bCs/>
                <w:strike/>
                <w:szCs w:val="24"/>
              </w:rPr>
              <w:t>,</w:t>
            </w:r>
            <w:r w:rsidRPr="00974F0F">
              <w:rPr>
                <w:rFonts w:eastAsia="Calibri"/>
                <w:bCs/>
                <w:szCs w:val="24"/>
              </w:rPr>
              <w:t xml:space="preserve"> kuri</w:t>
            </w:r>
            <w:r w:rsidR="00AD5F1B">
              <w:rPr>
                <w:rFonts w:eastAsia="Calibri"/>
                <w:bCs/>
                <w:szCs w:val="24"/>
              </w:rPr>
              <w:t>ai</w:t>
            </w:r>
            <w:r w:rsidRPr="00974F0F">
              <w:rPr>
                <w:rFonts w:eastAsia="Calibri"/>
                <w:bCs/>
                <w:szCs w:val="24"/>
              </w:rPr>
              <w:t xml:space="preserve"> įgyvendin</w:t>
            </w:r>
            <w:r w:rsidR="00AD5F1B">
              <w:rPr>
                <w:rFonts w:eastAsia="Calibri"/>
                <w:bCs/>
                <w:szCs w:val="24"/>
              </w:rPr>
              <w:t>t</w:t>
            </w:r>
            <w:r w:rsidRPr="00974F0F">
              <w:rPr>
                <w:rFonts w:eastAsia="Calibri"/>
                <w:bCs/>
                <w:szCs w:val="24"/>
              </w:rPr>
              <w:t xml:space="preserve">i </w:t>
            </w:r>
            <w:r w:rsidR="00AD5F1B">
              <w:rPr>
                <w:rFonts w:eastAsia="Calibri"/>
                <w:bCs/>
                <w:szCs w:val="24"/>
              </w:rPr>
              <w:t>būtina</w:t>
            </w:r>
            <w:r w:rsidR="00AD5F1B" w:rsidRPr="00974F0F">
              <w:rPr>
                <w:rFonts w:eastAsia="Calibri"/>
                <w:bCs/>
                <w:szCs w:val="24"/>
              </w:rPr>
              <w:t xml:space="preserve"> </w:t>
            </w:r>
            <w:r w:rsidRPr="00974F0F">
              <w:rPr>
                <w:rFonts w:eastAsia="Calibri"/>
                <w:bCs/>
                <w:szCs w:val="24"/>
              </w:rPr>
              <w:t xml:space="preserve">iš esmės peržiūrėti nacionalinę kibernetinio saugumo politikos formavimo ir įgyvendinimo sistemą, į kibernetinio saugumo valdymą ir užtikrinimą įtraukiant daugiau institucijų. Šiuo metu Kibernetinio saugumo įstatymu nustatyta kibernetinio saugumo politikos formavimo ir įgyvendinimo sistema, paremta penkioms institucijoms paskirstytomis funkcijomis, nėra pakankamai lanksti į Direktyvos (ES) 2022/2555 taikymo sritį patenkantiems subjektams ir </w:t>
            </w:r>
            <w:r w:rsidRPr="00974F0F">
              <w:rPr>
                <w:rFonts w:eastAsia="Calibri"/>
                <w:bCs/>
                <w:szCs w:val="24"/>
              </w:rPr>
              <w:lastRenderedPageBreak/>
              <w:t xml:space="preserve">sektoriams vertinti, taikytinoms priemonėms ir taisyklėms nustatyti, griežtesnei kontrolei vykdyti bei griežtesnėms sankcijoms taikyti. </w:t>
            </w:r>
          </w:p>
          <w:p w14:paraId="7E0114A4" w14:textId="10673A2F" w:rsidR="00801D80" w:rsidRPr="00974F0F" w:rsidRDefault="00801D80" w:rsidP="00BE123C">
            <w:pPr>
              <w:pStyle w:val="ListParagraph"/>
              <w:tabs>
                <w:tab w:val="left" w:pos="484"/>
                <w:tab w:val="left" w:pos="739"/>
              </w:tabs>
              <w:ind w:left="0" w:firstLine="312"/>
              <w:jc w:val="both"/>
              <w:rPr>
                <w:rFonts w:eastAsia="Calibri"/>
                <w:bCs/>
                <w:szCs w:val="24"/>
              </w:rPr>
            </w:pPr>
            <w:r w:rsidRPr="00974F0F">
              <w:rPr>
                <w:rFonts w:eastAsia="Calibri"/>
                <w:bCs/>
                <w:szCs w:val="24"/>
              </w:rPr>
              <w:t>Siekiamas pokyčio rezultatas – B.</w:t>
            </w:r>
          </w:p>
          <w:p w14:paraId="5971D726" w14:textId="67E403E0" w:rsidR="00560CE7" w:rsidRPr="00974F0F" w:rsidRDefault="00560CE7" w:rsidP="00666A97">
            <w:pPr>
              <w:pStyle w:val="ListParagraph"/>
              <w:numPr>
                <w:ilvl w:val="1"/>
                <w:numId w:val="2"/>
              </w:numPr>
              <w:tabs>
                <w:tab w:val="left" w:pos="484"/>
                <w:tab w:val="left" w:pos="739"/>
              </w:tabs>
              <w:ind w:left="30" w:firstLine="282"/>
              <w:jc w:val="both"/>
              <w:rPr>
                <w:rFonts w:eastAsia="Calibri"/>
                <w:b/>
                <w:bCs/>
                <w:szCs w:val="24"/>
              </w:rPr>
            </w:pPr>
            <w:r w:rsidRPr="00974F0F">
              <w:rPr>
                <w:rFonts w:eastAsia="Calibri"/>
                <w:b/>
                <w:bCs/>
                <w:szCs w:val="24"/>
              </w:rPr>
              <w:t>Nesukurti kibernetinio saugumo reikalavimų atnaujinimo metodai</w:t>
            </w:r>
          </w:p>
          <w:p w14:paraId="7F57A91D" w14:textId="317586B6" w:rsidR="00560CE7" w:rsidRPr="00974F0F" w:rsidRDefault="00560CE7" w:rsidP="00C168A5">
            <w:pPr>
              <w:ind w:firstLine="306"/>
              <w:jc w:val="both"/>
              <w:rPr>
                <w:rFonts w:eastAsia="Calibri"/>
                <w:bCs/>
                <w:szCs w:val="24"/>
              </w:rPr>
            </w:pPr>
            <w:r w:rsidRPr="00974F0F">
              <w:rPr>
                <w:rFonts w:eastAsia="Calibri"/>
                <w:bCs/>
                <w:szCs w:val="24"/>
              </w:rPr>
              <w:t xml:space="preserve">Organizaciniai ir techniniai kibernetinio saugumo reikalavimai (toliau – OTR) yra nelankstūs ir neapima naujų bei vis labiau įsigalinčių technologijų reikalavimų kibernetiniam saugumui. OTR stebėsenos ir analizės modeliai, metodai, kryptys, kurie galėtų būti realizuoti naudojant </w:t>
            </w:r>
            <w:r w:rsidR="00B61AAD" w:rsidRPr="00974F0F">
              <w:rPr>
                <w:bCs/>
                <w:spacing w:val="-3"/>
                <w:szCs w:val="24"/>
              </w:rPr>
              <w:t xml:space="preserve">informacines ir ryšių technologijas (toliau </w:t>
            </w:r>
            <w:r w:rsidR="00621992">
              <w:rPr>
                <w:bCs/>
                <w:spacing w:val="-3"/>
                <w:szCs w:val="24"/>
              </w:rPr>
              <w:t>–</w:t>
            </w:r>
            <w:r w:rsidR="00B61AAD" w:rsidRPr="00974F0F">
              <w:rPr>
                <w:bCs/>
                <w:spacing w:val="-3"/>
                <w:szCs w:val="24"/>
              </w:rPr>
              <w:t xml:space="preserve"> </w:t>
            </w:r>
            <w:r w:rsidRPr="00974F0F">
              <w:rPr>
                <w:rFonts w:eastAsia="Calibri"/>
                <w:bCs/>
                <w:szCs w:val="24"/>
              </w:rPr>
              <w:t>IRT</w:t>
            </w:r>
            <w:r w:rsidR="00B61AAD" w:rsidRPr="00974F0F">
              <w:rPr>
                <w:rFonts w:eastAsia="Calibri"/>
                <w:bCs/>
                <w:szCs w:val="24"/>
              </w:rPr>
              <w:t>)</w:t>
            </w:r>
            <w:r w:rsidRPr="00974F0F">
              <w:rPr>
                <w:rFonts w:eastAsia="Calibri"/>
                <w:bCs/>
                <w:szCs w:val="24"/>
              </w:rPr>
              <w:t>, nepakankamai išvystyti nacionaliniu lygiu.</w:t>
            </w:r>
          </w:p>
          <w:p w14:paraId="0EB069A2" w14:textId="39D48B45" w:rsidR="00C168A5" w:rsidRPr="00974F0F" w:rsidRDefault="00801D80" w:rsidP="004659FE">
            <w:pPr>
              <w:pStyle w:val="ListParagraph"/>
              <w:tabs>
                <w:tab w:val="left" w:pos="484"/>
                <w:tab w:val="left" w:pos="739"/>
              </w:tabs>
              <w:ind w:left="0" w:firstLine="312"/>
              <w:jc w:val="both"/>
              <w:rPr>
                <w:rFonts w:eastAsia="Calibri"/>
                <w:bCs/>
                <w:szCs w:val="24"/>
              </w:rPr>
            </w:pPr>
            <w:r w:rsidRPr="00974F0F">
              <w:rPr>
                <w:rFonts w:eastAsia="Calibri"/>
                <w:bCs/>
                <w:szCs w:val="24"/>
              </w:rPr>
              <w:t>Siekiamas pokyčio rezultatas – B.</w:t>
            </w:r>
          </w:p>
          <w:p w14:paraId="4FEC9B62" w14:textId="04BDC1E6" w:rsidR="002E713C" w:rsidRPr="00974F0F" w:rsidRDefault="002E713C" w:rsidP="00666A97">
            <w:pPr>
              <w:pStyle w:val="ListParagraph"/>
              <w:numPr>
                <w:ilvl w:val="1"/>
                <w:numId w:val="2"/>
              </w:numPr>
              <w:tabs>
                <w:tab w:val="left" w:pos="484"/>
                <w:tab w:val="left" w:pos="739"/>
              </w:tabs>
              <w:ind w:left="30" w:firstLine="282"/>
              <w:jc w:val="both"/>
              <w:rPr>
                <w:rFonts w:eastAsia="Calibri"/>
                <w:b/>
                <w:bCs/>
                <w:szCs w:val="24"/>
              </w:rPr>
            </w:pPr>
            <w:r w:rsidRPr="00974F0F">
              <w:rPr>
                <w:rFonts w:eastAsia="Calibri"/>
                <w:b/>
                <w:bCs/>
                <w:szCs w:val="24"/>
              </w:rPr>
              <w:t>S</w:t>
            </w:r>
            <w:r w:rsidR="001D0BA2" w:rsidRPr="00974F0F">
              <w:rPr>
                <w:rFonts w:eastAsia="Calibri"/>
                <w:b/>
                <w:bCs/>
                <w:szCs w:val="24"/>
              </w:rPr>
              <w:t>kirtingai taikomos kibernetinio atsparumo priemonės viešajame sektoriuje</w:t>
            </w:r>
          </w:p>
          <w:p w14:paraId="0980862E" w14:textId="4B96CBC8" w:rsidR="00666A97" w:rsidRPr="00974F0F" w:rsidRDefault="00666A97" w:rsidP="009A54AB">
            <w:pPr>
              <w:pStyle w:val="ListParagraph"/>
              <w:numPr>
                <w:ilvl w:val="2"/>
                <w:numId w:val="2"/>
              </w:numPr>
              <w:tabs>
                <w:tab w:val="left" w:pos="878"/>
              </w:tabs>
              <w:ind w:left="27" w:firstLine="284"/>
              <w:jc w:val="both"/>
              <w:rPr>
                <w:bCs/>
                <w:szCs w:val="24"/>
              </w:rPr>
            </w:pPr>
            <w:r w:rsidRPr="00974F0F">
              <w:rPr>
                <w:bCs/>
                <w:szCs w:val="24"/>
              </w:rPr>
              <w:t>K</w:t>
            </w:r>
            <w:r w:rsidR="002E713C" w:rsidRPr="00974F0F">
              <w:rPr>
                <w:bCs/>
                <w:szCs w:val="24"/>
              </w:rPr>
              <w:t>ibernetinio saugumo subjektai (toliau – KSS)</w:t>
            </w:r>
            <w:r w:rsidR="00CB1D10" w:rsidRPr="00974F0F">
              <w:rPr>
                <w:bCs/>
                <w:szCs w:val="24"/>
              </w:rPr>
              <w:t xml:space="preserve">, priklausomai nuo kibernetinio saugumo brandos, </w:t>
            </w:r>
            <w:r w:rsidRPr="00974F0F">
              <w:rPr>
                <w:bCs/>
                <w:szCs w:val="24"/>
              </w:rPr>
              <w:t xml:space="preserve">OTR </w:t>
            </w:r>
            <w:r w:rsidR="002E713C" w:rsidRPr="00974F0F">
              <w:rPr>
                <w:bCs/>
                <w:szCs w:val="24"/>
              </w:rPr>
              <w:t xml:space="preserve">įgyvendina skirtingai, dažnai juos atitinka arba beveik atitinka tik </w:t>
            </w:r>
            <w:r w:rsidR="002E713C" w:rsidRPr="00974F0F">
              <w:rPr>
                <w:bCs/>
                <w:i/>
                <w:iCs/>
                <w:szCs w:val="24"/>
              </w:rPr>
              <w:t xml:space="preserve">de jure. </w:t>
            </w:r>
            <w:r w:rsidR="002E713C" w:rsidRPr="00974F0F">
              <w:rPr>
                <w:bCs/>
                <w:iCs/>
                <w:szCs w:val="24"/>
              </w:rPr>
              <w:t xml:space="preserve">Jei organizacijos ir </w:t>
            </w:r>
            <w:r w:rsidR="002E713C" w:rsidRPr="00974F0F">
              <w:rPr>
                <w:bCs/>
                <w:szCs w:val="24"/>
              </w:rPr>
              <w:t>turi formaliai apibrėžtus kibernetinio saugumo procesus, gaires, tačiau kibernetinio saugumo užtikrinimas dažnai jų vertinamas kaip biurokratinė našta</w:t>
            </w:r>
            <w:r w:rsidR="00801D80" w:rsidRPr="00974F0F">
              <w:rPr>
                <w:bCs/>
                <w:szCs w:val="24"/>
              </w:rPr>
              <w:t>.</w:t>
            </w:r>
          </w:p>
          <w:p w14:paraId="7FCB0B12" w14:textId="1EE8B56F" w:rsidR="00801D80" w:rsidRPr="00974F0F" w:rsidRDefault="00801D80" w:rsidP="009A54AB">
            <w:pPr>
              <w:pStyle w:val="ListParagraph"/>
              <w:tabs>
                <w:tab w:val="left" w:pos="484"/>
                <w:tab w:val="left" w:pos="739"/>
              </w:tabs>
              <w:ind w:left="0" w:firstLine="312"/>
              <w:jc w:val="both"/>
              <w:rPr>
                <w:rFonts w:eastAsia="Calibri"/>
                <w:bCs/>
                <w:szCs w:val="24"/>
              </w:rPr>
            </w:pPr>
            <w:r w:rsidRPr="00974F0F">
              <w:rPr>
                <w:rFonts w:eastAsia="Calibri"/>
                <w:bCs/>
                <w:szCs w:val="24"/>
              </w:rPr>
              <w:t>Siekiamas pokyčio rezultatas – B</w:t>
            </w:r>
            <w:r w:rsidR="00872954" w:rsidRPr="00974F0F">
              <w:rPr>
                <w:rFonts w:eastAsia="Calibri"/>
                <w:bCs/>
                <w:szCs w:val="24"/>
              </w:rPr>
              <w:t xml:space="preserve">, </w:t>
            </w:r>
            <w:r w:rsidR="002E6ACB" w:rsidRPr="00974F0F">
              <w:rPr>
                <w:rFonts w:eastAsia="Calibri"/>
                <w:bCs/>
                <w:szCs w:val="24"/>
              </w:rPr>
              <w:t xml:space="preserve">F, </w:t>
            </w:r>
            <w:r w:rsidR="00DE57C5" w:rsidRPr="00974F0F">
              <w:rPr>
                <w:rFonts w:eastAsia="Calibri"/>
                <w:bCs/>
                <w:szCs w:val="24"/>
              </w:rPr>
              <w:t xml:space="preserve">G, </w:t>
            </w:r>
            <w:r w:rsidR="002E6ACB" w:rsidRPr="00974F0F">
              <w:rPr>
                <w:rFonts w:eastAsia="Calibri"/>
                <w:bCs/>
                <w:szCs w:val="24"/>
              </w:rPr>
              <w:t>J</w:t>
            </w:r>
            <w:r w:rsidR="00DE57C5" w:rsidRPr="00974F0F">
              <w:rPr>
                <w:rFonts w:eastAsia="Calibri"/>
                <w:bCs/>
                <w:szCs w:val="24"/>
              </w:rPr>
              <w:t xml:space="preserve">. </w:t>
            </w:r>
          </w:p>
          <w:p w14:paraId="7C847919" w14:textId="40A76FC5" w:rsidR="00C168A5" w:rsidRPr="00974F0F" w:rsidRDefault="00666A97" w:rsidP="009A54AB">
            <w:pPr>
              <w:pStyle w:val="ListParagraph"/>
              <w:numPr>
                <w:ilvl w:val="2"/>
                <w:numId w:val="2"/>
              </w:numPr>
              <w:tabs>
                <w:tab w:val="left" w:pos="875"/>
              </w:tabs>
              <w:ind w:left="0" w:firstLine="308"/>
              <w:jc w:val="both"/>
              <w:rPr>
                <w:bCs/>
                <w:szCs w:val="24"/>
              </w:rPr>
            </w:pPr>
            <w:r w:rsidRPr="00974F0F">
              <w:rPr>
                <w:bCs/>
                <w:szCs w:val="24"/>
              </w:rPr>
              <w:t xml:space="preserve">Atsižvelgiant į Saugiajame </w:t>
            </w:r>
            <w:r w:rsidR="00621992" w:rsidRPr="00621992">
              <w:rPr>
                <w:bCs/>
                <w:szCs w:val="24"/>
              </w:rPr>
              <w:t>valstybini</w:t>
            </w:r>
            <w:r w:rsidR="00621992">
              <w:rPr>
                <w:bCs/>
                <w:szCs w:val="24"/>
              </w:rPr>
              <w:t>ame</w:t>
            </w:r>
            <w:r w:rsidR="00621992" w:rsidRPr="00621992">
              <w:rPr>
                <w:bCs/>
                <w:szCs w:val="24"/>
              </w:rPr>
              <w:t xml:space="preserve"> duomenų perdavimo </w:t>
            </w:r>
            <w:r w:rsidRPr="00974F0F">
              <w:rPr>
                <w:bCs/>
                <w:szCs w:val="24"/>
              </w:rPr>
              <w:t>tinkle (toliau – S</w:t>
            </w:r>
            <w:r w:rsidR="003D1291">
              <w:rPr>
                <w:bCs/>
                <w:szCs w:val="24"/>
              </w:rPr>
              <w:t>augusis tinklas</w:t>
            </w:r>
            <w:r w:rsidRPr="00974F0F">
              <w:rPr>
                <w:bCs/>
                <w:szCs w:val="24"/>
              </w:rPr>
              <w:t xml:space="preserve">) </w:t>
            </w:r>
            <w:r w:rsidR="002E713C" w:rsidRPr="00974F0F">
              <w:rPr>
                <w:bCs/>
                <w:szCs w:val="24"/>
              </w:rPr>
              <w:t>esančių institucijų ir jų informacinių išteklių ypatingą svarbą ir didelius informacijos kiekius, S</w:t>
            </w:r>
            <w:r w:rsidR="003D1291">
              <w:rPr>
                <w:bCs/>
                <w:szCs w:val="24"/>
              </w:rPr>
              <w:t>augusis tinklas</w:t>
            </w:r>
            <w:r w:rsidR="002E713C" w:rsidRPr="00974F0F">
              <w:rPr>
                <w:bCs/>
                <w:szCs w:val="24"/>
              </w:rPr>
              <w:t xml:space="preserve"> tampa vienu iš pirmųjų ir dažnu kibernetinių atakų taikiniu. Kibernetinės atakos dažniausiai yra kompleksinės, sudėtingos ir, nors nukreipiamos į konkretų informacinį išteklių, kartu sutrikdoma ir kitų S</w:t>
            </w:r>
            <w:r w:rsidR="003D1291">
              <w:rPr>
                <w:bCs/>
                <w:szCs w:val="24"/>
              </w:rPr>
              <w:t xml:space="preserve">augiajam tinkle </w:t>
            </w:r>
            <w:r w:rsidR="002E713C" w:rsidRPr="00974F0F">
              <w:rPr>
                <w:bCs/>
                <w:szCs w:val="24"/>
              </w:rPr>
              <w:t>esančių institucijų veikla, sukeliama žala jų informaciniams ištekliams. Esama S</w:t>
            </w:r>
            <w:r w:rsidR="003D1291">
              <w:rPr>
                <w:bCs/>
                <w:szCs w:val="24"/>
              </w:rPr>
              <w:t xml:space="preserve">augiojo tinklo </w:t>
            </w:r>
            <w:r w:rsidR="002E713C" w:rsidRPr="00974F0F">
              <w:rPr>
                <w:bCs/>
                <w:szCs w:val="24"/>
              </w:rPr>
              <w:t>informacinių išteklių sąveikos ir kibernetinės saugos architektūra neleidžia apriboti kenkimo veiklos masto bei taikyti tikslinių kibernetinių saugumo priemonių, nes esami S</w:t>
            </w:r>
            <w:r w:rsidR="003D1291">
              <w:rPr>
                <w:bCs/>
                <w:szCs w:val="24"/>
              </w:rPr>
              <w:t xml:space="preserve">augiojo tinklo </w:t>
            </w:r>
            <w:r w:rsidR="002E713C" w:rsidRPr="00974F0F">
              <w:rPr>
                <w:bCs/>
                <w:szCs w:val="24"/>
              </w:rPr>
              <w:t>infrastruktūros komponentai nėra visiškai sugrupuo</w:t>
            </w:r>
            <w:r w:rsidR="00C168A5" w:rsidRPr="00974F0F">
              <w:rPr>
                <w:bCs/>
                <w:szCs w:val="24"/>
              </w:rPr>
              <w:t xml:space="preserve">ti, apribota </w:t>
            </w:r>
            <w:r w:rsidR="00120AB6">
              <w:rPr>
                <w:bCs/>
                <w:szCs w:val="24"/>
              </w:rPr>
              <w:t xml:space="preserve">prieiga prie jų. </w:t>
            </w:r>
          </w:p>
          <w:p w14:paraId="1AA251DE" w14:textId="15789AD4" w:rsidR="00801D80" w:rsidRPr="00974F0F" w:rsidRDefault="00801D80" w:rsidP="009A54AB">
            <w:pPr>
              <w:ind w:left="308"/>
              <w:jc w:val="both"/>
              <w:rPr>
                <w:bCs/>
                <w:szCs w:val="24"/>
              </w:rPr>
            </w:pPr>
            <w:r w:rsidRPr="00974F0F">
              <w:rPr>
                <w:bCs/>
                <w:szCs w:val="24"/>
              </w:rPr>
              <w:t xml:space="preserve">Siekiamas pokyčio rezultatas – </w:t>
            </w:r>
            <w:r w:rsidR="009A5FF9" w:rsidRPr="00974F0F">
              <w:rPr>
                <w:bCs/>
                <w:szCs w:val="24"/>
              </w:rPr>
              <w:t>A</w:t>
            </w:r>
            <w:r w:rsidR="00416F83" w:rsidRPr="00974F0F">
              <w:rPr>
                <w:bCs/>
                <w:szCs w:val="24"/>
              </w:rPr>
              <w:t>.</w:t>
            </w:r>
          </w:p>
          <w:p w14:paraId="023129AE" w14:textId="60BA38BD" w:rsidR="002E713C" w:rsidRPr="00974F0F" w:rsidRDefault="002E713C" w:rsidP="009A54AB">
            <w:pPr>
              <w:pStyle w:val="ListParagraph"/>
              <w:numPr>
                <w:ilvl w:val="2"/>
                <w:numId w:val="2"/>
              </w:numPr>
              <w:tabs>
                <w:tab w:val="left" w:pos="875"/>
              </w:tabs>
              <w:ind w:left="0" w:firstLine="308"/>
              <w:jc w:val="both"/>
              <w:rPr>
                <w:bCs/>
                <w:szCs w:val="24"/>
              </w:rPr>
            </w:pPr>
            <w:r w:rsidRPr="00974F0F">
              <w:rPr>
                <w:rFonts w:eastAsia="Calibri"/>
                <w:bCs/>
                <w:szCs w:val="24"/>
              </w:rPr>
              <w:t>Šiuo metu nėra nustatyt</w:t>
            </w:r>
            <w:r w:rsidR="00621992">
              <w:rPr>
                <w:rFonts w:eastAsia="Calibri"/>
                <w:bCs/>
                <w:szCs w:val="24"/>
              </w:rPr>
              <w:t>a</w:t>
            </w:r>
            <w:r w:rsidRPr="00974F0F">
              <w:rPr>
                <w:rFonts w:eastAsia="Calibri"/>
                <w:bCs/>
                <w:szCs w:val="24"/>
              </w:rPr>
              <w:t xml:space="preserve"> saugumo operacijų centrų (</w:t>
            </w:r>
            <w:r w:rsidRPr="00974F0F">
              <w:rPr>
                <w:bCs/>
                <w:szCs w:val="24"/>
              </w:rPr>
              <w:t xml:space="preserve">angl. </w:t>
            </w:r>
            <w:r w:rsidRPr="00974F0F">
              <w:rPr>
                <w:bCs/>
                <w:i/>
                <w:szCs w:val="24"/>
              </w:rPr>
              <w:t>Security Operation Center</w:t>
            </w:r>
            <w:r w:rsidRPr="00974F0F">
              <w:rPr>
                <w:bCs/>
                <w:szCs w:val="24"/>
              </w:rPr>
              <w:t xml:space="preserve"> (</w:t>
            </w:r>
            <w:r w:rsidRPr="00974F0F">
              <w:rPr>
                <w:rFonts w:eastAsia="Calibri"/>
                <w:bCs/>
                <w:szCs w:val="24"/>
              </w:rPr>
              <w:t xml:space="preserve">SOC)), kompiuterinių incidentų tyrimo (reagavimo) tarnybų (angl. </w:t>
            </w:r>
            <w:r w:rsidRPr="00974F0F">
              <w:rPr>
                <w:rFonts w:eastAsia="Calibri"/>
                <w:bCs/>
                <w:i/>
                <w:szCs w:val="24"/>
              </w:rPr>
              <w:t>Computer Emergency Response Team</w:t>
            </w:r>
            <w:r w:rsidRPr="00974F0F">
              <w:rPr>
                <w:rFonts w:eastAsia="Calibri"/>
                <w:bCs/>
                <w:szCs w:val="24"/>
              </w:rPr>
              <w:t xml:space="preserve"> (CERT)), reagavimo į kompiuterinius saugumo incidentus tarnybų (angl. </w:t>
            </w:r>
            <w:r w:rsidRPr="00974F0F">
              <w:rPr>
                <w:rFonts w:eastAsia="Calibri"/>
                <w:bCs/>
                <w:i/>
                <w:szCs w:val="24"/>
              </w:rPr>
              <w:t>Computer Security Incident Response</w:t>
            </w:r>
            <w:r w:rsidRPr="00974F0F">
              <w:rPr>
                <w:rFonts w:eastAsia="Calibri"/>
                <w:bCs/>
                <w:szCs w:val="24"/>
              </w:rPr>
              <w:t xml:space="preserve"> </w:t>
            </w:r>
            <w:r w:rsidRPr="00974F0F">
              <w:rPr>
                <w:rFonts w:eastAsia="Calibri"/>
                <w:bCs/>
                <w:i/>
                <w:szCs w:val="24"/>
              </w:rPr>
              <w:t>Team</w:t>
            </w:r>
            <w:r w:rsidRPr="00974F0F">
              <w:rPr>
                <w:rFonts w:eastAsia="Calibri"/>
                <w:bCs/>
                <w:szCs w:val="24"/>
              </w:rPr>
              <w:t xml:space="preserve"> (CSIRT)) kūrimo ir vystymosi kryp</w:t>
            </w:r>
            <w:r w:rsidR="00621992">
              <w:rPr>
                <w:rFonts w:eastAsia="Calibri"/>
                <w:bCs/>
                <w:szCs w:val="24"/>
              </w:rPr>
              <w:t>čių</w:t>
            </w:r>
            <w:r w:rsidRPr="00974F0F">
              <w:rPr>
                <w:rFonts w:eastAsia="Calibri"/>
                <w:bCs/>
                <w:szCs w:val="24"/>
              </w:rPr>
              <w:t>, nuosekl</w:t>
            </w:r>
            <w:r w:rsidR="00621992">
              <w:rPr>
                <w:rFonts w:eastAsia="Calibri"/>
                <w:bCs/>
                <w:szCs w:val="24"/>
              </w:rPr>
              <w:t>ių</w:t>
            </w:r>
            <w:r w:rsidRPr="00974F0F">
              <w:rPr>
                <w:rFonts w:eastAsia="Calibri"/>
                <w:bCs/>
                <w:szCs w:val="24"/>
              </w:rPr>
              <w:t xml:space="preserve"> jų </w:t>
            </w:r>
            <w:r w:rsidR="00BE123C" w:rsidRPr="00974F0F">
              <w:rPr>
                <w:rFonts w:eastAsia="Calibri"/>
                <w:bCs/>
                <w:szCs w:val="24"/>
              </w:rPr>
              <w:t>bendradarbiavimo</w:t>
            </w:r>
            <w:r w:rsidRPr="00974F0F">
              <w:rPr>
                <w:rFonts w:eastAsia="Calibri"/>
                <w:bCs/>
                <w:szCs w:val="24"/>
              </w:rPr>
              <w:t xml:space="preserve"> mechanizm</w:t>
            </w:r>
            <w:r w:rsidR="00621992">
              <w:rPr>
                <w:rFonts w:eastAsia="Calibri"/>
                <w:bCs/>
                <w:szCs w:val="24"/>
              </w:rPr>
              <w:t>ų</w:t>
            </w:r>
            <w:r w:rsidRPr="00974F0F">
              <w:rPr>
                <w:rFonts w:eastAsia="Calibri"/>
                <w:bCs/>
                <w:szCs w:val="24"/>
              </w:rPr>
              <w:t xml:space="preserve">. </w:t>
            </w:r>
          </w:p>
          <w:p w14:paraId="7C8E2946" w14:textId="2A84B7AE" w:rsidR="00801D80" w:rsidRPr="00974F0F" w:rsidRDefault="00801D80" w:rsidP="009A54AB">
            <w:pPr>
              <w:pStyle w:val="ListParagraph"/>
              <w:ind w:left="308"/>
              <w:jc w:val="both"/>
              <w:rPr>
                <w:bCs/>
                <w:szCs w:val="24"/>
              </w:rPr>
            </w:pPr>
            <w:r w:rsidRPr="00974F0F">
              <w:rPr>
                <w:bCs/>
                <w:szCs w:val="24"/>
              </w:rPr>
              <w:t xml:space="preserve">Siekiamas pokyčio rezultatas – </w:t>
            </w:r>
            <w:r w:rsidR="00974F0F" w:rsidRPr="00974F0F">
              <w:rPr>
                <w:bCs/>
                <w:szCs w:val="24"/>
              </w:rPr>
              <w:t>H</w:t>
            </w:r>
            <w:r w:rsidRPr="00974F0F">
              <w:rPr>
                <w:bCs/>
                <w:szCs w:val="24"/>
              </w:rPr>
              <w:t>.</w:t>
            </w:r>
          </w:p>
          <w:p w14:paraId="55B8A284" w14:textId="631F944F" w:rsidR="001D0BA2" w:rsidRPr="00974F0F" w:rsidRDefault="002E2168" w:rsidP="009A54AB">
            <w:pPr>
              <w:pStyle w:val="ListParagraph"/>
              <w:numPr>
                <w:ilvl w:val="1"/>
                <w:numId w:val="2"/>
              </w:numPr>
              <w:tabs>
                <w:tab w:val="left" w:pos="484"/>
                <w:tab w:val="left" w:pos="739"/>
                <w:tab w:val="left" w:pos="879"/>
              </w:tabs>
              <w:ind w:left="30" w:firstLine="278"/>
              <w:jc w:val="both"/>
              <w:rPr>
                <w:rFonts w:eastAsia="Calibri"/>
                <w:b/>
                <w:bCs/>
                <w:szCs w:val="24"/>
              </w:rPr>
            </w:pPr>
            <w:r w:rsidRPr="00974F0F">
              <w:rPr>
                <w:rFonts w:eastAsia="Calibri"/>
                <w:b/>
                <w:bCs/>
                <w:szCs w:val="24"/>
              </w:rPr>
              <w:t>K</w:t>
            </w:r>
            <w:r w:rsidR="001D0BA2" w:rsidRPr="00974F0F">
              <w:rPr>
                <w:rFonts w:eastAsia="Calibri"/>
                <w:b/>
                <w:bCs/>
                <w:szCs w:val="24"/>
              </w:rPr>
              <w:t>ibernetinio saugumo, atsparumo ir grėsmės lygiui vertinti trūksta kibernetinio saugumo stebėsenos duomenų</w:t>
            </w:r>
          </w:p>
          <w:p w14:paraId="273F7726" w14:textId="1102083A" w:rsidR="002E713C" w:rsidRPr="00974F0F" w:rsidRDefault="002E713C" w:rsidP="009A54AB">
            <w:pPr>
              <w:pStyle w:val="ListParagraph"/>
              <w:numPr>
                <w:ilvl w:val="2"/>
                <w:numId w:val="2"/>
              </w:numPr>
              <w:tabs>
                <w:tab w:val="left" w:pos="875"/>
              </w:tabs>
              <w:ind w:left="0" w:firstLine="308"/>
              <w:jc w:val="both"/>
              <w:rPr>
                <w:bCs/>
                <w:szCs w:val="24"/>
              </w:rPr>
            </w:pPr>
            <w:r w:rsidRPr="00974F0F">
              <w:rPr>
                <w:bCs/>
                <w:szCs w:val="24"/>
              </w:rPr>
              <w:t xml:space="preserve">Pagrindinis įrankis, skirtas </w:t>
            </w:r>
            <w:r w:rsidR="00621992">
              <w:rPr>
                <w:bCs/>
                <w:szCs w:val="24"/>
              </w:rPr>
              <w:t>k</w:t>
            </w:r>
            <w:r w:rsidR="00666A97" w:rsidRPr="00974F0F">
              <w:rPr>
                <w:bCs/>
                <w:szCs w:val="24"/>
              </w:rPr>
              <w:t xml:space="preserve">ibernetinio saugumo subjektams </w:t>
            </w:r>
            <w:r w:rsidR="003D1291">
              <w:rPr>
                <w:bCs/>
                <w:szCs w:val="24"/>
              </w:rPr>
              <w:t xml:space="preserve">(toliau – KSS) </w:t>
            </w:r>
            <w:r w:rsidRPr="00974F0F">
              <w:rPr>
                <w:bCs/>
                <w:szCs w:val="24"/>
              </w:rPr>
              <w:t xml:space="preserve">keistis informacija apie </w:t>
            </w:r>
            <w:r w:rsidRPr="00974F0F">
              <w:rPr>
                <w:bCs/>
                <w:szCs w:val="24"/>
                <w:lang w:eastAsia="lt-LT"/>
              </w:rPr>
              <w:t xml:space="preserve">galimus ir įvykusius </w:t>
            </w:r>
            <w:r w:rsidRPr="00974F0F">
              <w:rPr>
                <w:bCs/>
                <w:szCs w:val="24"/>
              </w:rPr>
              <w:t xml:space="preserve">kibernetinius incidentus bei kita su kibernetinio saugumo užtikrinimu susijusia informacija tarpusavyje ir su </w:t>
            </w:r>
            <w:r w:rsidR="00BA1703" w:rsidRPr="00BA1703">
              <w:rPr>
                <w:bCs/>
                <w:szCs w:val="24"/>
              </w:rPr>
              <w:t>Nacionalini</w:t>
            </w:r>
            <w:r w:rsidR="00BA1703">
              <w:rPr>
                <w:bCs/>
                <w:szCs w:val="24"/>
              </w:rPr>
              <w:t>u</w:t>
            </w:r>
            <w:r w:rsidR="00BA1703" w:rsidRPr="00BA1703">
              <w:rPr>
                <w:bCs/>
                <w:szCs w:val="24"/>
              </w:rPr>
              <w:t xml:space="preserve"> kibernetinio saugumo centr</w:t>
            </w:r>
            <w:r w:rsidR="00BA1703">
              <w:rPr>
                <w:bCs/>
                <w:szCs w:val="24"/>
              </w:rPr>
              <w:t>u</w:t>
            </w:r>
            <w:r w:rsidR="00BA1703" w:rsidRPr="00BA1703">
              <w:rPr>
                <w:bCs/>
                <w:szCs w:val="24"/>
              </w:rPr>
              <w:t xml:space="preserve"> prie Krašto apsaugos ministerijos (toliau – </w:t>
            </w:r>
            <w:r w:rsidRPr="00974F0F">
              <w:rPr>
                <w:bCs/>
                <w:szCs w:val="24"/>
              </w:rPr>
              <w:t>NKSC</w:t>
            </w:r>
            <w:r w:rsidR="00BA1703">
              <w:rPr>
                <w:bCs/>
                <w:szCs w:val="24"/>
              </w:rPr>
              <w:t>)</w:t>
            </w:r>
            <w:r w:rsidRPr="00974F0F">
              <w:rPr>
                <w:bCs/>
                <w:szCs w:val="24"/>
              </w:rPr>
              <w:t xml:space="preserve">, </w:t>
            </w:r>
            <w:r w:rsidR="00666A97" w:rsidRPr="00974F0F">
              <w:rPr>
                <w:bCs/>
                <w:szCs w:val="24"/>
              </w:rPr>
              <w:t xml:space="preserve">šiuo metu </w:t>
            </w:r>
            <w:r w:rsidRPr="00974F0F">
              <w:rPr>
                <w:bCs/>
                <w:szCs w:val="24"/>
              </w:rPr>
              <w:t xml:space="preserve">yra NKSC valdomas Kibernetinio saugumo informacinis tinklas (toliau – KSIT). </w:t>
            </w:r>
            <w:r w:rsidR="00666A97" w:rsidRPr="00974F0F">
              <w:rPr>
                <w:bCs/>
                <w:szCs w:val="24"/>
              </w:rPr>
              <w:t xml:space="preserve">KSIT paslaugos nėra </w:t>
            </w:r>
            <w:r w:rsidRPr="00974F0F">
              <w:rPr>
                <w:bCs/>
                <w:szCs w:val="24"/>
              </w:rPr>
              <w:t xml:space="preserve">pakankamos kibernetinėms grėsmėms mažinti ir </w:t>
            </w:r>
            <w:r w:rsidR="00666A97" w:rsidRPr="00974F0F">
              <w:rPr>
                <w:bCs/>
                <w:szCs w:val="24"/>
              </w:rPr>
              <w:t xml:space="preserve">nėra </w:t>
            </w:r>
            <w:r w:rsidRPr="00974F0F">
              <w:rPr>
                <w:bCs/>
                <w:szCs w:val="24"/>
              </w:rPr>
              <w:t>pritaikytos prie pasikeitusių grėsmių</w:t>
            </w:r>
            <w:r w:rsidR="00666A97" w:rsidRPr="00974F0F">
              <w:rPr>
                <w:bCs/>
                <w:szCs w:val="24"/>
              </w:rPr>
              <w:t xml:space="preserve">, nesudaro tinkamų sąlygų efektyviai bendradarbiauti. </w:t>
            </w:r>
          </w:p>
          <w:p w14:paraId="44BDC4A0" w14:textId="317CDF77" w:rsidR="00182B91" w:rsidRPr="00974F0F" w:rsidRDefault="00182B91" w:rsidP="009A54AB">
            <w:pPr>
              <w:pStyle w:val="ListParagraph"/>
              <w:tabs>
                <w:tab w:val="left" w:pos="1014"/>
              </w:tabs>
              <w:ind w:left="447" w:hanging="139"/>
              <w:jc w:val="both"/>
              <w:rPr>
                <w:bCs/>
                <w:szCs w:val="24"/>
              </w:rPr>
            </w:pPr>
            <w:r w:rsidRPr="00974F0F">
              <w:rPr>
                <w:bCs/>
                <w:szCs w:val="24"/>
              </w:rPr>
              <w:t xml:space="preserve">Siekiamas pokyčio rezultatas – B, C, </w:t>
            </w:r>
            <w:r w:rsidR="00974F0F" w:rsidRPr="00974F0F">
              <w:rPr>
                <w:bCs/>
                <w:szCs w:val="24"/>
              </w:rPr>
              <w:t>H</w:t>
            </w:r>
            <w:r w:rsidRPr="00974F0F">
              <w:rPr>
                <w:bCs/>
                <w:szCs w:val="24"/>
              </w:rPr>
              <w:t>.</w:t>
            </w:r>
          </w:p>
          <w:p w14:paraId="2378F90B" w14:textId="68843772" w:rsidR="002E713C" w:rsidRPr="00974F0F" w:rsidRDefault="00666A97" w:rsidP="009A54AB">
            <w:pPr>
              <w:pStyle w:val="ListParagraph"/>
              <w:numPr>
                <w:ilvl w:val="2"/>
                <w:numId w:val="2"/>
              </w:numPr>
              <w:tabs>
                <w:tab w:val="left" w:pos="875"/>
              </w:tabs>
              <w:ind w:left="0" w:firstLine="308"/>
              <w:jc w:val="both"/>
              <w:rPr>
                <w:bCs/>
                <w:szCs w:val="24"/>
              </w:rPr>
            </w:pPr>
            <w:r w:rsidRPr="00974F0F">
              <w:rPr>
                <w:bCs/>
                <w:szCs w:val="24"/>
              </w:rPr>
              <w:t xml:space="preserve">Taip pat svarbu vykdyti </w:t>
            </w:r>
            <w:r w:rsidR="002E713C" w:rsidRPr="00974F0F">
              <w:rPr>
                <w:bCs/>
                <w:szCs w:val="24"/>
              </w:rPr>
              <w:t>s</w:t>
            </w:r>
            <w:r w:rsidR="002E713C" w:rsidRPr="00974F0F">
              <w:rPr>
                <w:rFonts w:eastAsia="Republika"/>
                <w:bCs/>
                <w:szCs w:val="24"/>
              </w:rPr>
              <w:t>istemingą OTR įgyvendinimo stebėseną</w:t>
            </w:r>
            <w:r w:rsidRPr="00974F0F">
              <w:rPr>
                <w:rFonts w:eastAsia="Republika"/>
                <w:bCs/>
                <w:szCs w:val="24"/>
              </w:rPr>
              <w:t xml:space="preserve">, </w:t>
            </w:r>
            <w:r w:rsidR="002E713C" w:rsidRPr="00974F0F">
              <w:rPr>
                <w:bCs/>
                <w:szCs w:val="24"/>
              </w:rPr>
              <w:t xml:space="preserve">kibernetinio saugumo rizikų vertinimą, leidžiantį nedelsiant identifikuoti realioje situacijoje kylančias grėsmes. </w:t>
            </w:r>
            <w:r w:rsidRPr="00974F0F">
              <w:rPr>
                <w:bCs/>
                <w:szCs w:val="24"/>
              </w:rPr>
              <w:t xml:space="preserve">Šiuo metu </w:t>
            </w:r>
            <w:r w:rsidR="002E713C" w:rsidRPr="00974F0F">
              <w:rPr>
                <w:bCs/>
                <w:color w:val="000000"/>
                <w:szCs w:val="24"/>
              </w:rPr>
              <w:t>elektroninės informacijos saugos reikalavimams stebėsenos sistem</w:t>
            </w:r>
            <w:r w:rsidRPr="00974F0F">
              <w:rPr>
                <w:bCs/>
                <w:color w:val="000000"/>
                <w:szCs w:val="24"/>
              </w:rPr>
              <w:t>os</w:t>
            </w:r>
            <w:r w:rsidR="002E713C" w:rsidRPr="00974F0F">
              <w:rPr>
                <w:bCs/>
                <w:color w:val="000000"/>
                <w:szCs w:val="24"/>
              </w:rPr>
              <w:t xml:space="preserve"> (</w:t>
            </w:r>
            <w:r w:rsidRPr="00974F0F">
              <w:rPr>
                <w:bCs/>
                <w:szCs w:val="24"/>
              </w:rPr>
              <w:t xml:space="preserve">ARSIS) </w:t>
            </w:r>
            <w:r w:rsidR="002E713C" w:rsidRPr="00974F0F">
              <w:rPr>
                <w:bCs/>
                <w:szCs w:val="24"/>
              </w:rPr>
              <w:t xml:space="preserve">funkcionalumai nėra pakankami išsamiam IRT kibernetinio atsparumo vertinimui atlikti. </w:t>
            </w:r>
          </w:p>
          <w:p w14:paraId="23E13FCB" w14:textId="2ABBA282" w:rsidR="00182B91" w:rsidRPr="00974F0F" w:rsidRDefault="00182B91" w:rsidP="00EE7A64">
            <w:pPr>
              <w:pStyle w:val="ListParagraph"/>
              <w:tabs>
                <w:tab w:val="left" w:pos="1014"/>
              </w:tabs>
              <w:ind w:left="308"/>
              <w:jc w:val="both"/>
              <w:rPr>
                <w:bCs/>
                <w:szCs w:val="24"/>
              </w:rPr>
            </w:pPr>
            <w:r w:rsidRPr="00974F0F">
              <w:rPr>
                <w:bCs/>
                <w:szCs w:val="24"/>
              </w:rPr>
              <w:t xml:space="preserve">Siekiamas pokyčio rezultatas – B, C, </w:t>
            </w:r>
            <w:r w:rsidR="00974F0F" w:rsidRPr="00974F0F">
              <w:rPr>
                <w:bCs/>
                <w:szCs w:val="24"/>
              </w:rPr>
              <w:t>H</w:t>
            </w:r>
            <w:r w:rsidRPr="00974F0F">
              <w:rPr>
                <w:bCs/>
                <w:szCs w:val="24"/>
              </w:rPr>
              <w:t>.</w:t>
            </w:r>
          </w:p>
          <w:p w14:paraId="01E2E38E" w14:textId="4D8978E2" w:rsidR="001D0BA2" w:rsidRPr="00974F0F" w:rsidRDefault="002E713C" w:rsidP="00EE7A64">
            <w:pPr>
              <w:pStyle w:val="ListParagraph"/>
              <w:numPr>
                <w:ilvl w:val="1"/>
                <w:numId w:val="2"/>
              </w:numPr>
              <w:tabs>
                <w:tab w:val="left" w:pos="484"/>
                <w:tab w:val="left" w:pos="739"/>
                <w:tab w:val="left" w:pos="879"/>
              </w:tabs>
              <w:ind w:left="0" w:firstLine="308"/>
              <w:jc w:val="both"/>
              <w:rPr>
                <w:rFonts w:eastAsia="Calibri"/>
                <w:b/>
                <w:bCs/>
                <w:szCs w:val="24"/>
              </w:rPr>
            </w:pPr>
            <w:r w:rsidRPr="00974F0F">
              <w:rPr>
                <w:rFonts w:eastAsia="Calibri"/>
                <w:b/>
                <w:bCs/>
                <w:szCs w:val="24"/>
              </w:rPr>
              <w:t>N</w:t>
            </w:r>
            <w:r w:rsidR="001D0BA2" w:rsidRPr="00974F0F">
              <w:rPr>
                <w:rFonts w:eastAsia="Calibri"/>
                <w:b/>
                <w:bCs/>
                <w:szCs w:val="24"/>
              </w:rPr>
              <w:t>enuoseklus valstybės institucijų personalo švietimas ir edukacija kibernetinio saugumo klausim</w:t>
            </w:r>
            <w:r w:rsidRPr="00974F0F">
              <w:rPr>
                <w:rFonts w:eastAsia="Calibri"/>
                <w:b/>
                <w:bCs/>
                <w:szCs w:val="24"/>
              </w:rPr>
              <w:t>ais</w:t>
            </w:r>
          </w:p>
          <w:p w14:paraId="78359586" w14:textId="7814CCEF" w:rsidR="005817AA" w:rsidRPr="00974F0F" w:rsidRDefault="00666A97" w:rsidP="00EE7A64">
            <w:pPr>
              <w:ind w:firstLine="308"/>
              <w:jc w:val="both"/>
              <w:rPr>
                <w:bCs/>
                <w:szCs w:val="24"/>
              </w:rPr>
            </w:pPr>
            <w:r w:rsidRPr="00974F0F">
              <w:rPr>
                <w:bCs/>
                <w:szCs w:val="24"/>
              </w:rPr>
              <w:t xml:space="preserve">NKSC organizuojamose pratybose ir mokymuose dalyvauja tik nedidelė dalis </w:t>
            </w:r>
            <w:r w:rsidR="002E713C" w:rsidRPr="00974F0F">
              <w:rPr>
                <w:bCs/>
                <w:szCs w:val="24"/>
              </w:rPr>
              <w:t xml:space="preserve">visų valstybės informacinių išteklių arba </w:t>
            </w:r>
            <w:r w:rsidR="00BA1703">
              <w:rPr>
                <w:bCs/>
                <w:szCs w:val="24"/>
              </w:rPr>
              <w:t>y</w:t>
            </w:r>
            <w:r w:rsidRPr="00974F0F">
              <w:rPr>
                <w:bCs/>
                <w:szCs w:val="24"/>
              </w:rPr>
              <w:t>patingos svarbos informacinės infrastruktūros</w:t>
            </w:r>
            <w:r w:rsidR="00227D8F" w:rsidRPr="00974F0F">
              <w:rPr>
                <w:bCs/>
                <w:szCs w:val="24"/>
              </w:rPr>
              <w:t xml:space="preserve"> (toliau – YSII)</w:t>
            </w:r>
            <w:r w:rsidRPr="00974F0F">
              <w:rPr>
                <w:bCs/>
                <w:szCs w:val="24"/>
              </w:rPr>
              <w:t xml:space="preserve"> </w:t>
            </w:r>
            <w:r w:rsidR="002E713C" w:rsidRPr="00974F0F">
              <w:rPr>
                <w:bCs/>
                <w:szCs w:val="24"/>
              </w:rPr>
              <w:t>valdytojų arba tvarkytojų</w:t>
            </w:r>
            <w:r w:rsidRPr="00974F0F">
              <w:rPr>
                <w:bCs/>
                <w:szCs w:val="24"/>
              </w:rPr>
              <w:t>.</w:t>
            </w:r>
          </w:p>
          <w:p w14:paraId="40BF5E0C" w14:textId="1E714880" w:rsidR="005817AA" w:rsidRPr="00974F0F" w:rsidRDefault="005817AA" w:rsidP="00EE7A64">
            <w:pPr>
              <w:ind w:firstLine="308"/>
              <w:jc w:val="both"/>
              <w:rPr>
                <w:bCs/>
                <w:szCs w:val="24"/>
              </w:rPr>
            </w:pPr>
            <w:r w:rsidRPr="00974F0F">
              <w:rPr>
                <w:rFonts w:eastAsia="Calibri"/>
                <w:bCs/>
                <w:szCs w:val="24"/>
              </w:rPr>
              <w:t xml:space="preserve">Siekiamas pokyčio rezultatas – </w:t>
            </w:r>
            <w:r w:rsidR="00BB034C" w:rsidRPr="00974F0F">
              <w:rPr>
                <w:rFonts w:eastAsia="Calibri"/>
                <w:bCs/>
                <w:szCs w:val="24"/>
              </w:rPr>
              <w:t>E.</w:t>
            </w:r>
          </w:p>
          <w:p w14:paraId="6C3FE7FF" w14:textId="2DEF5C4E" w:rsidR="001D0BA2" w:rsidRPr="00974F0F" w:rsidRDefault="002E713C" w:rsidP="00EE7A64">
            <w:pPr>
              <w:pStyle w:val="ListParagraph"/>
              <w:numPr>
                <w:ilvl w:val="1"/>
                <w:numId w:val="2"/>
              </w:numPr>
              <w:tabs>
                <w:tab w:val="left" w:pos="484"/>
                <w:tab w:val="left" w:pos="739"/>
                <w:tab w:val="left" w:pos="879"/>
              </w:tabs>
              <w:ind w:left="30" w:firstLine="308"/>
              <w:jc w:val="both"/>
              <w:rPr>
                <w:rFonts w:eastAsia="Calibri"/>
                <w:b/>
                <w:bCs/>
                <w:szCs w:val="24"/>
              </w:rPr>
            </w:pPr>
            <w:r w:rsidRPr="00974F0F">
              <w:rPr>
                <w:rFonts w:eastAsia="Calibri"/>
                <w:b/>
                <w:bCs/>
                <w:szCs w:val="24"/>
              </w:rPr>
              <w:lastRenderedPageBreak/>
              <w:t>T</w:t>
            </w:r>
            <w:r w:rsidR="001D0BA2" w:rsidRPr="00974F0F">
              <w:rPr>
                <w:rFonts w:eastAsia="Calibri"/>
                <w:b/>
                <w:bCs/>
                <w:szCs w:val="24"/>
              </w:rPr>
              <w:t>rūksta kibernetinio saugumo specialistų</w:t>
            </w:r>
          </w:p>
          <w:p w14:paraId="177DF527" w14:textId="52B4ECE2" w:rsidR="00F1759B" w:rsidRPr="00974F0F" w:rsidRDefault="002E713C" w:rsidP="00EE7A64">
            <w:pPr>
              <w:ind w:firstLine="308"/>
              <w:jc w:val="both"/>
              <w:rPr>
                <w:bCs/>
                <w:spacing w:val="-3"/>
                <w:szCs w:val="24"/>
              </w:rPr>
            </w:pPr>
            <w:r w:rsidRPr="00974F0F">
              <w:rPr>
                <w:bCs/>
                <w:spacing w:val="-3"/>
                <w:szCs w:val="24"/>
              </w:rPr>
              <w:t>Tarptautinių tyrimų duomenys rodo kibernetinio saugumo specialistų ir į</w:t>
            </w:r>
            <w:r w:rsidR="00A2002C" w:rsidRPr="00974F0F">
              <w:rPr>
                <w:bCs/>
                <w:spacing w:val="-3"/>
                <w:szCs w:val="24"/>
              </w:rPr>
              <w:t xml:space="preserve">vairių jų kompetencijų trūkumą. </w:t>
            </w:r>
            <w:r w:rsidRPr="00974F0F">
              <w:rPr>
                <w:bCs/>
                <w:spacing w:val="-3"/>
                <w:szCs w:val="24"/>
              </w:rPr>
              <w:t xml:space="preserve">Šis trūkumas kritinis aviacijoje, valstybiniame sektoriuje, švietimo, draudimo ir transporto srityse. </w:t>
            </w:r>
            <w:r w:rsidR="00535481">
              <w:rPr>
                <w:bCs/>
                <w:spacing w:val="-3"/>
                <w:szCs w:val="24"/>
              </w:rPr>
              <w:t>Ypač t</w:t>
            </w:r>
            <w:r w:rsidRPr="00974F0F">
              <w:rPr>
                <w:bCs/>
                <w:szCs w:val="24"/>
              </w:rPr>
              <w:t xml:space="preserve">rūksta personalo </w:t>
            </w:r>
            <w:r w:rsidR="00A2002C" w:rsidRPr="00974F0F">
              <w:rPr>
                <w:bCs/>
                <w:szCs w:val="24"/>
              </w:rPr>
              <w:t>t</w:t>
            </w:r>
            <w:r w:rsidRPr="00974F0F">
              <w:rPr>
                <w:bCs/>
                <w:szCs w:val="24"/>
              </w:rPr>
              <w:t xml:space="preserve">okiose srityse kaip incidentų valdymas, grėsmių analizė, rizikos valdymas, paslaugų valdymas ir pan. </w:t>
            </w:r>
            <w:r w:rsidRPr="00974F0F">
              <w:rPr>
                <w:bCs/>
                <w:spacing w:val="-3"/>
                <w:szCs w:val="24"/>
              </w:rPr>
              <w:t>Lietuvoje pastaruosius penkerius metus daugiau nei 50 proc. valstybės ir savivaldybių institucijų susid</w:t>
            </w:r>
            <w:r w:rsidR="00A2002C" w:rsidRPr="00974F0F">
              <w:rPr>
                <w:bCs/>
                <w:spacing w:val="-3"/>
                <w:szCs w:val="24"/>
              </w:rPr>
              <w:t>uria su</w:t>
            </w:r>
            <w:r w:rsidR="00AD5F1B">
              <w:rPr>
                <w:bCs/>
                <w:spacing w:val="-3"/>
                <w:szCs w:val="24"/>
              </w:rPr>
              <w:t xml:space="preserve"> informacinių technologijų (toliau – </w:t>
            </w:r>
            <w:r w:rsidR="00A2002C" w:rsidRPr="00974F0F">
              <w:rPr>
                <w:bCs/>
                <w:spacing w:val="-3"/>
                <w:szCs w:val="24"/>
              </w:rPr>
              <w:t>IT</w:t>
            </w:r>
            <w:r w:rsidR="00AD5F1B">
              <w:rPr>
                <w:bCs/>
                <w:spacing w:val="-3"/>
                <w:szCs w:val="24"/>
              </w:rPr>
              <w:t>)</w:t>
            </w:r>
            <w:r w:rsidR="00A2002C" w:rsidRPr="00974F0F">
              <w:rPr>
                <w:bCs/>
                <w:spacing w:val="-3"/>
                <w:szCs w:val="24"/>
              </w:rPr>
              <w:t xml:space="preserve"> specialistų trūkumu.</w:t>
            </w:r>
          </w:p>
          <w:p w14:paraId="0FB60F51" w14:textId="5D5D9C65" w:rsidR="00E7612A" w:rsidRPr="00974F0F" w:rsidRDefault="00E7612A" w:rsidP="00EE7A64">
            <w:pPr>
              <w:ind w:firstLine="308"/>
              <w:jc w:val="both"/>
              <w:rPr>
                <w:rFonts w:eastAsia="Calibri"/>
                <w:bCs/>
                <w:szCs w:val="24"/>
              </w:rPr>
            </w:pPr>
            <w:r w:rsidRPr="00974F0F">
              <w:rPr>
                <w:rFonts w:eastAsia="Calibri"/>
                <w:bCs/>
                <w:szCs w:val="24"/>
              </w:rPr>
              <w:t xml:space="preserve">Siekiamas pokyčio rezultatas – </w:t>
            </w:r>
            <w:r w:rsidR="00D92001" w:rsidRPr="00974F0F">
              <w:rPr>
                <w:rFonts w:eastAsia="Calibri"/>
                <w:bCs/>
                <w:szCs w:val="24"/>
              </w:rPr>
              <w:t>A.</w:t>
            </w:r>
          </w:p>
          <w:p w14:paraId="779A2888" w14:textId="77777777" w:rsidR="00E0669A" w:rsidRPr="00974F0F" w:rsidRDefault="00E0669A" w:rsidP="00E7612A">
            <w:pPr>
              <w:ind w:firstLine="516"/>
              <w:jc w:val="both"/>
              <w:rPr>
                <w:bCs/>
                <w:szCs w:val="24"/>
              </w:rPr>
            </w:pPr>
          </w:p>
          <w:p w14:paraId="6FE51E19" w14:textId="0220C4C5" w:rsidR="001D0BA2" w:rsidRPr="00974F0F" w:rsidRDefault="002E713C" w:rsidP="00BE123C">
            <w:pPr>
              <w:pStyle w:val="ListParagraph"/>
              <w:numPr>
                <w:ilvl w:val="0"/>
                <w:numId w:val="2"/>
              </w:numPr>
              <w:tabs>
                <w:tab w:val="left" w:pos="172"/>
                <w:tab w:val="left" w:pos="595"/>
                <w:tab w:val="left" w:pos="737"/>
              </w:tabs>
              <w:ind w:left="0" w:firstLine="453"/>
              <w:jc w:val="both"/>
              <w:rPr>
                <w:rFonts w:eastAsia="Calibri"/>
                <w:bCs/>
                <w:szCs w:val="24"/>
                <w:u w:val="single"/>
              </w:rPr>
            </w:pPr>
            <w:r w:rsidRPr="00974F0F">
              <w:rPr>
                <w:rFonts w:eastAsia="Calibri"/>
                <w:bCs/>
                <w:szCs w:val="24"/>
                <w:u w:val="single"/>
              </w:rPr>
              <w:t xml:space="preserve"> </w:t>
            </w:r>
            <w:r w:rsidR="001D0BA2" w:rsidRPr="00974F0F">
              <w:rPr>
                <w:rFonts w:eastAsia="Calibri"/>
                <w:b/>
                <w:bCs/>
                <w:szCs w:val="24"/>
                <w:u w:val="single"/>
              </w:rPr>
              <w:t xml:space="preserve">Nusikalstamų veikų elektroninėje erdvėje tyrimo pajėgumai neatitinka </w:t>
            </w:r>
            <w:r w:rsidRPr="00974F0F">
              <w:rPr>
                <w:rFonts w:eastAsia="Calibri"/>
                <w:b/>
                <w:bCs/>
                <w:szCs w:val="24"/>
                <w:u w:val="single"/>
              </w:rPr>
              <w:t>nusikalstamų veikų sudėtingumo</w:t>
            </w:r>
          </w:p>
          <w:p w14:paraId="43C09254" w14:textId="3E295957" w:rsidR="001D0BA2" w:rsidRPr="00974F0F" w:rsidRDefault="002E713C" w:rsidP="00BE123C">
            <w:pPr>
              <w:pStyle w:val="ListParagraph"/>
              <w:numPr>
                <w:ilvl w:val="1"/>
                <w:numId w:val="2"/>
              </w:numPr>
              <w:tabs>
                <w:tab w:val="left" w:pos="484"/>
                <w:tab w:val="left" w:pos="739"/>
                <w:tab w:val="left" w:pos="879"/>
              </w:tabs>
              <w:ind w:left="30" w:firstLine="423"/>
              <w:jc w:val="both"/>
              <w:rPr>
                <w:rFonts w:eastAsia="Calibri"/>
                <w:b/>
                <w:bCs/>
                <w:szCs w:val="24"/>
              </w:rPr>
            </w:pPr>
            <w:r w:rsidRPr="00974F0F">
              <w:rPr>
                <w:rFonts w:eastAsia="Calibri"/>
                <w:b/>
                <w:bCs/>
                <w:szCs w:val="24"/>
              </w:rPr>
              <w:t>N</w:t>
            </w:r>
            <w:r w:rsidR="001D0BA2" w:rsidRPr="00974F0F">
              <w:rPr>
                <w:rFonts w:eastAsia="Calibri"/>
                <w:b/>
                <w:bCs/>
                <w:szCs w:val="24"/>
              </w:rPr>
              <w:t>evystoma elektroninių nus</w:t>
            </w:r>
            <w:r w:rsidRPr="00974F0F">
              <w:rPr>
                <w:rFonts w:eastAsia="Calibri"/>
                <w:b/>
                <w:bCs/>
                <w:szCs w:val="24"/>
              </w:rPr>
              <w:t>ikaltimų tyrimo infrastruktūra</w:t>
            </w:r>
          </w:p>
          <w:p w14:paraId="05035199" w14:textId="535529AE" w:rsidR="00BE123C" w:rsidRPr="00974F0F" w:rsidRDefault="002E713C" w:rsidP="00BE123C">
            <w:pPr>
              <w:ind w:firstLine="454"/>
              <w:jc w:val="both"/>
              <w:rPr>
                <w:bCs/>
                <w:spacing w:val="-3"/>
                <w:szCs w:val="24"/>
              </w:rPr>
            </w:pPr>
            <w:r w:rsidRPr="00974F0F">
              <w:rPr>
                <w:bCs/>
                <w:spacing w:val="-3"/>
                <w:szCs w:val="24"/>
              </w:rPr>
              <w:t>Tirdama kibernetines atakas ir nusikaltimus elektroninėje erdvėje prieš valstybines institucijas bei YSII, taip pat atakas, kai kėsinamasi į asmens duomenis, Lietuvos policija turi paimti bei išsaugoti itin daug duomenų, kurie</w:t>
            </w:r>
            <w:r w:rsidR="00AD5F1B">
              <w:rPr>
                <w:bCs/>
                <w:spacing w:val="-3"/>
                <w:szCs w:val="24"/>
              </w:rPr>
              <w:t>ms</w:t>
            </w:r>
            <w:r w:rsidRPr="00974F0F">
              <w:rPr>
                <w:bCs/>
                <w:spacing w:val="-3"/>
                <w:szCs w:val="24"/>
              </w:rPr>
              <w:t xml:space="preserve"> </w:t>
            </w:r>
            <w:r w:rsidR="00975375">
              <w:rPr>
                <w:bCs/>
                <w:spacing w:val="-3"/>
                <w:szCs w:val="24"/>
              </w:rPr>
              <w:t>būtina</w:t>
            </w:r>
            <w:r w:rsidR="00975375" w:rsidRPr="00974F0F">
              <w:rPr>
                <w:bCs/>
                <w:spacing w:val="-3"/>
                <w:szCs w:val="24"/>
              </w:rPr>
              <w:t xml:space="preserve"> </w:t>
            </w:r>
            <w:r w:rsidRPr="00974F0F">
              <w:rPr>
                <w:bCs/>
                <w:spacing w:val="-3"/>
                <w:szCs w:val="24"/>
              </w:rPr>
              <w:t xml:space="preserve">operatyvi analizė. Sudėtingiausiuose tyrimuose ekspertų atsakymai dėl tyrimo krypties turi būti gauti nedelsiant, kad tyrėjai turėtų galimybę užkardyti nusikalstamas veikas, apsaugoti ir paimti perimtus (pavogtus) duomenis, mažinti galimą žalą ir grėsmes, nustatyti tikruosius įtariamųjų </w:t>
            </w:r>
            <w:r w:rsidRPr="00974F0F">
              <w:rPr>
                <w:bCs/>
                <w:color w:val="000000"/>
                <w:szCs w:val="24"/>
              </w:rPr>
              <w:t xml:space="preserve">interneto protokolo </w:t>
            </w:r>
            <w:r w:rsidRPr="00974F0F">
              <w:rPr>
                <w:bCs/>
                <w:szCs w:val="24"/>
              </w:rPr>
              <w:t xml:space="preserve">(angl. IP) </w:t>
            </w:r>
            <w:r w:rsidRPr="00974F0F">
              <w:rPr>
                <w:bCs/>
                <w:spacing w:val="-3"/>
                <w:szCs w:val="24"/>
              </w:rPr>
              <w:t>adresus ir surinkti kitus skaitmeninius įrodymus. Sparčiai didėjant kibernetinių atakų kompleksiškumui ir sudėtingumui reikalinga didžiųjų duomenų analizė, paremta efektyviausiais du</w:t>
            </w:r>
            <w:r w:rsidR="00BE123C" w:rsidRPr="00974F0F">
              <w:rPr>
                <w:bCs/>
                <w:spacing w:val="-3"/>
                <w:szCs w:val="24"/>
              </w:rPr>
              <w:t>omenų mokslo analizės metodais.</w:t>
            </w:r>
          </w:p>
          <w:p w14:paraId="5EC51B7D" w14:textId="3247ECA0" w:rsidR="007A6FF8" w:rsidRPr="00974F0F" w:rsidRDefault="007A6FF8" w:rsidP="007A6FF8">
            <w:pPr>
              <w:ind w:firstLine="516"/>
              <w:jc w:val="both"/>
              <w:rPr>
                <w:bCs/>
                <w:szCs w:val="24"/>
              </w:rPr>
            </w:pPr>
            <w:r w:rsidRPr="00974F0F">
              <w:rPr>
                <w:rFonts w:eastAsia="Calibri"/>
                <w:bCs/>
                <w:szCs w:val="24"/>
              </w:rPr>
              <w:t xml:space="preserve">Siekiamas pokyčio rezultatas – </w:t>
            </w:r>
            <w:r w:rsidR="00974F0F" w:rsidRPr="00974F0F">
              <w:rPr>
                <w:rFonts w:eastAsia="Calibri"/>
                <w:bCs/>
                <w:szCs w:val="24"/>
              </w:rPr>
              <w:t>I</w:t>
            </w:r>
            <w:r w:rsidR="00F25D20" w:rsidRPr="00974F0F">
              <w:rPr>
                <w:rFonts w:eastAsia="Calibri"/>
                <w:bCs/>
                <w:szCs w:val="24"/>
              </w:rPr>
              <w:t>.</w:t>
            </w:r>
          </w:p>
          <w:p w14:paraId="125F6659" w14:textId="052CCA90" w:rsidR="001D0BA2" w:rsidRPr="00974F0F" w:rsidRDefault="002E713C" w:rsidP="00BE123C">
            <w:pPr>
              <w:pStyle w:val="ListParagraph"/>
              <w:numPr>
                <w:ilvl w:val="1"/>
                <w:numId w:val="2"/>
              </w:numPr>
              <w:tabs>
                <w:tab w:val="left" w:pos="484"/>
                <w:tab w:val="left" w:pos="739"/>
                <w:tab w:val="left" w:pos="879"/>
              </w:tabs>
              <w:ind w:left="30" w:firstLine="423"/>
              <w:jc w:val="both"/>
              <w:rPr>
                <w:rFonts w:eastAsia="Calibri"/>
                <w:b/>
                <w:bCs/>
                <w:szCs w:val="24"/>
              </w:rPr>
            </w:pPr>
            <w:r w:rsidRPr="00974F0F">
              <w:rPr>
                <w:rFonts w:eastAsia="Calibri"/>
                <w:b/>
                <w:bCs/>
                <w:szCs w:val="24"/>
              </w:rPr>
              <w:t>M</w:t>
            </w:r>
            <w:r w:rsidR="001D0BA2" w:rsidRPr="00974F0F">
              <w:rPr>
                <w:rFonts w:eastAsia="Calibri"/>
                <w:b/>
                <w:bCs/>
                <w:szCs w:val="24"/>
              </w:rPr>
              <w:t xml:space="preserve">ažai dėmesio skiriama elektroninių nusikaltimų tyrėjų kompetencijoms didinti  </w:t>
            </w:r>
          </w:p>
          <w:p w14:paraId="70E624FE" w14:textId="624AB503" w:rsidR="002E713C" w:rsidRPr="00974F0F" w:rsidRDefault="00975375" w:rsidP="00661E71">
            <w:pPr>
              <w:ind w:firstLine="454"/>
              <w:jc w:val="both"/>
              <w:rPr>
                <w:bCs/>
                <w:spacing w:val="-3"/>
                <w:szCs w:val="24"/>
              </w:rPr>
            </w:pPr>
            <w:r>
              <w:rPr>
                <w:rFonts w:eastAsia="Calibri"/>
                <w:bCs/>
                <w:szCs w:val="24"/>
              </w:rPr>
              <w:t>Dėl n</w:t>
            </w:r>
            <w:r w:rsidR="002E713C" w:rsidRPr="00974F0F">
              <w:rPr>
                <w:rFonts w:eastAsia="Calibri"/>
                <w:bCs/>
                <w:szCs w:val="24"/>
              </w:rPr>
              <w:t>auj</w:t>
            </w:r>
            <w:r>
              <w:rPr>
                <w:rFonts w:eastAsia="Calibri"/>
                <w:bCs/>
                <w:szCs w:val="24"/>
              </w:rPr>
              <w:t>ų</w:t>
            </w:r>
            <w:r w:rsidR="002E713C" w:rsidRPr="00974F0F">
              <w:rPr>
                <w:rFonts w:eastAsia="Calibri"/>
                <w:bCs/>
                <w:szCs w:val="24"/>
              </w:rPr>
              <w:t xml:space="preserve"> technologij</w:t>
            </w:r>
            <w:r>
              <w:rPr>
                <w:rFonts w:eastAsia="Calibri"/>
                <w:bCs/>
                <w:szCs w:val="24"/>
              </w:rPr>
              <w:t>ų</w:t>
            </w:r>
            <w:r w:rsidR="002E713C" w:rsidRPr="00974F0F">
              <w:rPr>
                <w:rFonts w:eastAsia="Calibri"/>
                <w:bCs/>
                <w:szCs w:val="24"/>
              </w:rPr>
              <w:t xml:space="preserve"> reik</w:t>
            </w:r>
            <w:r>
              <w:rPr>
                <w:rFonts w:eastAsia="Calibri"/>
                <w:bCs/>
                <w:szCs w:val="24"/>
              </w:rPr>
              <w:t>i</w:t>
            </w:r>
            <w:r w:rsidR="002E713C" w:rsidRPr="00974F0F">
              <w:rPr>
                <w:rFonts w:eastAsia="Calibri"/>
                <w:bCs/>
                <w:szCs w:val="24"/>
              </w:rPr>
              <w:t xml:space="preserve">a peržiūrėti standartines veikimo procedūras (pvz., nusikaltimų įkalčių rinkimo), stiprinti ne tik </w:t>
            </w:r>
            <w:r w:rsidR="002E713C" w:rsidRPr="00974F0F">
              <w:rPr>
                <w:bCs/>
                <w:szCs w:val="24"/>
              </w:rPr>
              <w:t>nusikaltimų elektroninėje erdvėje tyrimus vykdančių institucijų, bet ir</w:t>
            </w:r>
            <w:r w:rsidR="002E713C" w:rsidRPr="00974F0F">
              <w:rPr>
                <w:rFonts w:eastAsia="Calibri"/>
                <w:bCs/>
                <w:szCs w:val="24"/>
              </w:rPr>
              <w:t xml:space="preserve"> </w:t>
            </w:r>
            <w:r w:rsidR="002E713C" w:rsidRPr="00974F0F">
              <w:rPr>
                <w:bCs/>
                <w:spacing w:val="-3"/>
                <w:szCs w:val="24"/>
              </w:rPr>
              <w:t xml:space="preserve">KSS bei YSII valdytojų bei tvarkytojų gebėjimus. </w:t>
            </w:r>
            <w:r>
              <w:rPr>
                <w:bCs/>
                <w:spacing w:val="-3"/>
                <w:szCs w:val="24"/>
              </w:rPr>
              <w:t>Nustatyta</w:t>
            </w:r>
            <w:r w:rsidR="002E713C" w:rsidRPr="00974F0F">
              <w:rPr>
                <w:bCs/>
                <w:spacing w:val="-3"/>
                <w:szCs w:val="24"/>
              </w:rPr>
              <w:t xml:space="preserve">, kad 64 proc. KSS nėra aišku, kaip įvertinti nusikaltimo nuostolį ar žalą, o 27 proc. – kaip reaguoti į galimai vykdomą nusikaltimą elektroninėje erdvėje. </w:t>
            </w:r>
          </w:p>
          <w:p w14:paraId="6A197F22" w14:textId="13E3CA70" w:rsidR="00F25D20" w:rsidRPr="00974F0F" w:rsidRDefault="00F25D20" w:rsidP="00E0669A">
            <w:pPr>
              <w:ind w:firstLine="454"/>
              <w:jc w:val="both"/>
              <w:rPr>
                <w:bCs/>
                <w:szCs w:val="24"/>
              </w:rPr>
            </w:pPr>
            <w:r w:rsidRPr="00974F0F">
              <w:rPr>
                <w:rFonts w:eastAsia="Calibri"/>
                <w:bCs/>
                <w:szCs w:val="24"/>
              </w:rPr>
              <w:t xml:space="preserve">Siekiamas pokyčio rezultatas – </w:t>
            </w:r>
            <w:r w:rsidR="00974F0F" w:rsidRPr="00974F0F">
              <w:rPr>
                <w:rFonts w:eastAsia="Calibri"/>
                <w:bCs/>
                <w:szCs w:val="24"/>
              </w:rPr>
              <w:t>I</w:t>
            </w:r>
            <w:r w:rsidR="006822D0" w:rsidRPr="00974F0F">
              <w:rPr>
                <w:rFonts w:eastAsia="Calibri"/>
                <w:bCs/>
                <w:szCs w:val="24"/>
              </w:rPr>
              <w:t>.</w:t>
            </w:r>
          </w:p>
          <w:p w14:paraId="48261B1C" w14:textId="77777777" w:rsidR="002E713C" w:rsidRPr="00974F0F" w:rsidRDefault="002E713C" w:rsidP="002E713C">
            <w:pPr>
              <w:jc w:val="both"/>
              <w:rPr>
                <w:rFonts w:eastAsia="Calibri"/>
                <w:b/>
                <w:bCs/>
                <w:szCs w:val="24"/>
                <w:u w:val="single"/>
              </w:rPr>
            </w:pPr>
          </w:p>
          <w:p w14:paraId="78EADE4E" w14:textId="670F2993" w:rsidR="001D0BA2" w:rsidRPr="00974F0F" w:rsidRDefault="001D0BA2" w:rsidP="00BE123C">
            <w:pPr>
              <w:pStyle w:val="ListParagraph"/>
              <w:numPr>
                <w:ilvl w:val="0"/>
                <w:numId w:val="2"/>
              </w:numPr>
              <w:tabs>
                <w:tab w:val="left" w:pos="737"/>
              </w:tabs>
              <w:ind w:left="28" w:firstLine="425"/>
              <w:jc w:val="both"/>
              <w:rPr>
                <w:rFonts w:eastAsia="Calibri"/>
                <w:b/>
                <w:bCs/>
                <w:szCs w:val="24"/>
                <w:u w:val="single"/>
              </w:rPr>
            </w:pPr>
            <w:r w:rsidRPr="00974F0F">
              <w:rPr>
                <w:rFonts w:eastAsia="Calibri"/>
                <w:b/>
                <w:bCs/>
                <w:szCs w:val="24"/>
                <w:u w:val="single"/>
              </w:rPr>
              <w:t xml:space="preserve">Žemas visuomenės ir smulkaus bei vidutinio verslo žinių kibernetinio saugumo srityje lygis ir praktiniai gebėjimai jas pritaikyti </w:t>
            </w:r>
          </w:p>
          <w:p w14:paraId="503F4EED" w14:textId="00840C13" w:rsidR="006A67EF" w:rsidRPr="00974F0F" w:rsidRDefault="00E0669A" w:rsidP="003F6655">
            <w:pPr>
              <w:pStyle w:val="ListParagraph"/>
              <w:numPr>
                <w:ilvl w:val="1"/>
                <w:numId w:val="2"/>
              </w:numPr>
              <w:tabs>
                <w:tab w:val="left" w:pos="875"/>
              </w:tabs>
              <w:ind w:left="0" w:firstLine="449"/>
              <w:jc w:val="both"/>
              <w:rPr>
                <w:b/>
                <w:bCs/>
                <w:szCs w:val="24"/>
              </w:rPr>
            </w:pPr>
            <w:r w:rsidRPr="00974F0F">
              <w:rPr>
                <w:bCs/>
                <w:szCs w:val="24"/>
              </w:rPr>
              <w:t xml:space="preserve"> </w:t>
            </w:r>
            <w:r w:rsidR="006A67EF" w:rsidRPr="00974F0F">
              <w:rPr>
                <w:b/>
                <w:bCs/>
                <w:szCs w:val="24"/>
              </w:rPr>
              <w:t>Mažai dėmesio skiriama pažeidžiamiausių visuomenės grupių kibernetini</w:t>
            </w:r>
            <w:r w:rsidR="00975375">
              <w:rPr>
                <w:b/>
                <w:bCs/>
                <w:szCs w:val="24"/>
              </w:rPr>
              <w:t>am</w:t>
            </w:r>
            <w:r w:rsidR="006A67EF" w:rsidRPr="00974F0F">
              <w:rPr>
                <w:b/>
                <w:bCs/>
                <w:szCs w:val="24"/>
              </w:rPr>
              <w:t xml:space="preserve"> atsparum</w:t>
            </w:r>
            <w:r w:rsidR="00975375">
              <w:rPr>
                <w:b/>
                <w:bCs/>
                <w:szCs w:val="24"/>
              </w:rPr>
              <w:t>ui</w:t>
            </w:r>
            <w:r w:rsidR="006A67EF" w:rsidRPr="00974F0F">
              <w:rPr>
                <w:b/>
                <w:bCs/>
                <w:szCs w:val="24"/>
              </w:rPr>
              <w:t xml:space="preserve"> didin</w:t>
            </w:r>
            <w:r w:rsidR="00975375">
              <w:rPr>
                <w:b/>
                <w:bCs/>
                <w:szCs w:val="24"/>
              </w:rPr>
              <w:t>t</w:t>
            </w:r>
            <w:r w:rsidR="006A67EF" w:rsidRPr="00974F0F">
              <w:rPr>
                <w:b/>
                <w:bCs/>
                <w:szCs w:val="24"/>
              </w:rPr>
              <w:t>i</w:t>
            </w:r>
          </w:p>
          <w:p w14:paraId="5CBF81A1" w14:textId="452BC8F2" w:rsidR="00661E71" w:rsidRPr="00974F0F" w:rsidRDefault="002E713C" w:rsidP="00E0669A">
            <w:pPr>
              <w:ind w:firstLine="454"/>
              <w:jc w:val="both"/>
              <w:rPr>
                <w:bCs/>
                <w:szCs w:val="24"/>
              </w:rPr>
            </w:pPr>
            <w:r w:rsidRPr="00974F0F">
              <w:rPr>
                <w:rFonts w:eastAsia="Calibri"/>
                <w:bCs/>
                <w:szCs w:val="24"/>
              </w:rPr>
              <w:t xml:space="preserve">Nors skaitmeninė visuomenės atskirtis mažėja, atskirtis kibernetinio saugumo srityje tarp tų, kurie sugeba pasirūpinti savo kibernetiniu saugumu, ir tų, kurie negali, išlieka. Negebančius pasirūpinti kibernetiniu saugumu visuomenės narius galima skirstyti į įvairias grupes. Vertinama, kad tam tikros grupės, </w:t>
            </w:r>
            <w:r w:rsidR="00975375">
              <w:rPr>
                <w:rFonts w:eastAsia="Calibri"/>
                <w:bCs/>
                <w:szCs w:val="24"/>
              </w:rPr>
              <w:t>pvz.,</w:t>
            </w:r>
            <w:r w:rsidR="00975375" w:rsidRPr="00974F0F">
              <w:rPr>
                <w:rFonts w:eastAsia="Calibri"/>
                <w:bCs/>
                <w:szCs w:val="24"/>
              </w:rPr>
              <w:t xml:space="preserve"> </w:t>
            </w:r>
            <w:r w:rsidRPr="00974F0F">
              <w:rPr>
                <w:rFonts w:eastAsia="Calibri"/>
                <w:bCs/>
                <w:szCs w:val="24"/>
              </w:rPr>
              <w:t xml:space="preserve">senjorai, mažas pajamas turintys gyventojai ar užsieniečiai, gali patirti neproporcingai didelę žalą kibernetinės atakos atveju. </w:t>
            </w:r>
            <w:r w:rsidRPr="00974F0F">
              <w:rPr>
                <w:bCs/>
                <w:szCs w:val="24"/>
              </w:rPr>
              <w:t>Asmenys ir organizacijos neturi tapti kibernetinio saugumo specialistais, tačiau turi turėti bazinių kibernetinio saugumo žinių. Bazinės kibernetinio saugumo žinios ir kibernetinės higienos praktika</w:t>
            </w:r>
            <w:r w:rsidR="00975375">
              <w:rPr>
                <w:bCs/>
                <w:szCs w:val="24"/>
              </w:rPr>
              <w:t xml:space="preserve"> –</w:t>
            </w:r>
            <w:r w:rsidRPr="00974F0F">
              <w:rPr>
                <w:bCs/>
                <w:szCs w:val="24"/>
              </w:rPr>
              <w:t xml:space="preserve"> atnaujinimų įdiegimas, sudėtingų slaptažodžių naudojimas, atsarginių kopijų darymas</w:t>
            </w:r>
            <w:r w:rsidR="00975375">
              <w:rPr>
                <w:bCs/>
                <w:szCs w:val="24"/>
              </w:rPr>
              <w:t xml:space="preserve"> –</w:t>
            </w:r>
            <w:r w:rsidRPr="00974F0F">
              <w:rPr>
                <w:bCs/>
                <w:szCs w:val="24"/>
              </w:rPr>
              <w:t xml:space="preserve"> daugeliu atvejų gali padėti išvengti kibernetinių atakų ir jų sukeliamos žalos.</w:t>
            </w:r>
          </w:p>
          <w:p w14:paraId="0E97D5AE" w14:textId="6F23EA88" w:rsidR="00661E71" w:rsidRPr="00974F0F" w:rsidRDefault="00661E71" w:rsidP="009A54AB">
            <w:pPr>
              <w:ind w:left="312" w:firstLine="137"/>
              <w:jc w:val="both"/>
              <w:rPr>
                <w:bCs/>
                <w:szCs w:val="24"/>
              </w:rPr>
            </w:pPr>
            <w:r w:rsidRPr="00974F0F">
              <w:rPr>
                <w:rFonts w:eastAsia="Calibri"/>
                <w:bCs/>
                <w:szCs w:val="24"/>
              </w:rPr>
              <w:t xml:space="preserve">Siekiamas pokyčio rezultatas – </w:t>
            </w:r>
            <w:r w:rsidR="006949C6" w:rsidRPr="00974F0F">
              <w:rPr>
                <w:rFonts w:eastAsia="Calibri"/>
                <w:bCs/>
                <w:szCs w:val="24"/>
              </w:rPr>
              <w:t>D</w:t>
            </w:r>
            <w:r w:rsidR="006E63F4" w:rsidRPr="00974F0F">
              <w:rPr>
                <w:rFonts w:eastAsia="Calibri"/>
                <w:bCs/>
                <w:szCs w:val="24"/>
              </w:rPr>
              <w:t xml:space="preserve">, E. </w:t>
            </w:r>
          </w:p>
          <w:p w14:paraId="3034E739" w14:textId="3BC8D0C5" w:rsidR="006A67EF" w:rsidRPr="00974F0F" w:rsidRDefault="006A67EF" w:rsidP="00C168A5">
            <w:pPr>
              <w:pStyle w:val="ListParagraph"/>
              <w:numPr>
                <w:ilvl w:val="1"/>
                <w:numId w:val="2"/>
              </w:numPr>
              <w:tabs>
                <w:tab w:val="left" w:pos="873"/>
              </w:tabs>
              <w:ind w:left="32" w:firstLine="425"/>
              <w:jc w:val="both"/>
              <w:rPr>
                <w:rFonts w:eastAsia="Calibri"/>
                <w:b/>
                <w:bCs/>
                <w:szCs w:val="24"/>
              </w:rPr>
            </w:pPr>
            <w:r w:rsidRPr="00974F0F">
              <w:rPr>
                <w:rFonts w:eastAsia="Calibri"/>
                <w:b/>
                <w:bCs/>
                <w:szCs w:val="24"/>
              </w:rPr>
              <w:t>Trūksta pagalbos mažesnius resursus turinčioms organizacijoms vykdant kibernetinio saugumo žinių sklaidą</w:t>
            </w:r>
          </w:p>
          <w:p w14:paraId="0041292B" w14:textId="126B76CD" w:rsidR="002E713C" w:rsidRPr="00974F0F" w:rsidRDefault="002E713C" w:rsidP="00E0669A">
            <w:pPr>
              <w:ind w:left="32" w:firstLine="454"/>
              <w:jc w:val="both"/>
              <w:rPr>
                <w:rFonts w:eastAsia="Calibri"/>
                <w:bCs/>
                <w:szCs w:val="24"/>
              </w:rPr>
            </w:pPr>
            <w:r w:rsidRPr="00974F0F">
              <w:rPr>
                <w:rFonts w:eastAsia="Calibri"/>
                <w:bCs/>
                <w:szCs w:val="24"/>
              </w:rPr>
              <w:t>D</w:t>
            </w:r>
            <w:r w:rsidRPr="00974F0F">
              <w:rPr>
                <w:rFonts w:eastAsia="Republika"/>
                <w:bCs/>
                <w:szCs w:val="24"/>
              </w:rPr>
              <w:t xml:space="preserve">idesnių organizacijų didesnis kibernetinis atsparumas įprastai būna paremtas didesniais finansiniais resursais ir kompetentingais specialistais, tuo tarpu mažesnės organizacijos kibernetinio saugumo kompetencijų organizacijos viduje neaugina, tačiau gauna iš trečiųjų šalių. </w:t>
            </w:r>
            <w:r w:rsidRPr="00974F0F">
              <w:rPr>
                <w:rFonts w:eastAsia="Calibri"/>
                <w:bCs/>
                <w:szCs w:val="24"/>
              </w:rPr>
              <w:t xml:space="preserve">Trūksta pagalbos mažesnius resursus turinčioms organizacijoms </w:t>
            </w:r>
            <w:r w:rsidR="00B3628C">
              <w:rPr>
                <w:rFonts w:eastAsia="Calibri"/>
                <w:bCs/>
                <w:szCs w:val="24"/>
              </w:rPr>
              <w:t xml:space="preserve">gilinant kibernetinio saugumo žinias. </w:t>
            </w:r>
          </w:p>
          <w:p w14:paraId="06BE3C57" w14:textId="0F4749FC" w:rsidR="00A67C6F" w:rsidRPr="00974F0F" w:rsidRDefault="00A67C6F" w:rsidP="00C168A5">
            <w:pPr>
              <w:ind w:left="312" w:firstLine="135"/>
              <w:jc w:val="both"/>
              <w:rPr>
                <w:rFonts w:eastAsia="Calibri"/>
                <w:bCs/>
                <w:szCs w:val="24"/>
              </w:rPr>
            </w:pPr>
            <w:r w:rsidRPr="00974F0F">
              <w:rPr>
                <w:rFonts w:eastAsia="Calibri"/>
                <w:bCs/>
                <w:szCs w:val="24"/>
              </w:rPr>
              <w:t xml:space="preserve">Siekiamas pokyčio rezultatas – </w:t>
            </w:r>
            <w:r w:rsidR="006949C6" w:rsidRPr="00974F0F">
              <w:rPr>
                <w:rFonts w:eastAsia="Calibri"/>
                <w:bCs/>
                <w:szCs w:val="24"/>
              </w:rPr>
              <w:t>D</w:t>
            </w:r>
            <w:r w:rsidR="000C3E21" w:rsidRPr="00974F0F">
              <w:rPr>
                <w:rFonts w:eastAsia="Calibri"/>
                <w:bCs/>
                <w:szCs w:val="24"/>
              </w:rPr>
              <w:t xml:space="preserve">, </w:t>
            </w:r>
            <w:r w:rsidR="00974F0F" w:rsidRPr="00974F0F">
              <w:rPr>
                <w:rFonts w:eastAsia="Calibri"/>
                <w:bCs/>
                <w:szCs w:val="24"/>
              </w:rPr>
              <w:t>L</w:t>
            </w:r>
            <w:r w:rsidR="000C3E21" w:rsidRPr="00974F0F">
              <w:rPr>
                <w:rFonts w:eastAsia="Calibri"/>
                <w:bCs/>
                <w:szCs w:val="24"/>
              </w:rPr>
              <w:t xml:space="preserve">. </w:t>
            </w:r>
          </w:p>
          <w:p w14:paraId="24361E92" w14:textId="77777777" w:rsidR="00EE7A64" w:rsidRPr="00974F0F" w:rsidRDefault="00EE7A64" w:rsidP="00C168A5">
            <w:pPr>
              <w:ind w:left="312" w:firstLine="135"/>
              <w:jc w:val="both"/>
              <w:rPr>
                <w:bCs/>
                <w:szCs w:val="24"/>
              </w:rPr>
            </w:pPr>
          </w:p>
          <w:p w14:paraId="2E169113" w14:textId="21FDDBC7" w:rsidR="001D0BA2" w:rsidRPr="00974F0F" w:rsidRDefault="001D0BA2" w:rsidP="00901003">
            <w:pPr>
              <w:pStyle w:val="ListParagraph"/>
              <w:numPr>
                <w:ilvl w:val="0"/>
                <w:numId w:val="2"/>
              </w:numPr>
              <w:tabs>
                <w:tab w:val="left" w:pos="733"/>
              </w:tabs>
              <w:ind w:hanging="31"/>
              <w:jc w:val="both"/>
              <w:rPr>
                <w:rFonts w:eastAsia="Calibri"/>
                <w:b/>
                <w:bCs/>
                <w:szCs w:val="24"/>
                <w:u w:val="single"/>
              </w:rPr>
            </w:pPr>
            <w:r w:rsidRPr="00974F0F">
              <w:rPr>
                <w:rFonts w:eastAsia="Calibri"/>
                <w:b/>
                <w:bCs/>
                <w:szCs w:val="24"/>
                <w:u w:val="single"/>
              </w:rPr>
              <w:lastRenderedPageBreak/>
              <w:t>Nenustatytos viešojo ir privataus sektoriaus bendradarbiavimo kryptys</w:t>
            </w:r>
          </w:p>
          <w:p w14:paraId="4BDCEFE5" w14:textId="4018C794" w:rsidR="002E713C" w:rsidRPr="00974F0F" w:rsidRDefault="004D3F40" w:rsidP="00E0669A">
            <w:pPr>
              <w:ind w:firstLine="454"/>
              <w:jc w:val="both"/>
              <w:rPr>
                <w:szCs w:val="24"/>
              </w:rPr>
            </w:pPr>
            <w:r>
              <w:rPr>
                <w:szCs w:val="24"/>
              </w:rPr>
              <w:t xml:space="preserve">Europos Sąjungoje (toliau – </w:t>
            </w:r>
            <w:r w:rsidR="002E713C" w:rsidRPr="00974F0F">
              <w:rPr>
                <w:szCs w:val="24"/>
              </w:rPr>
              <w:t>ES</w:t>
            </w:r>
            <w:r>
              <w:rPr>
                <w:szCs w:val="24"/>
              </w:rPr>
              <w:t>)</w:t>
            </w:r>
            <w:r w:rsidR="002E713C" w:rsidRPr="00974F0F">
              <w:rPr>
                <w:szCs w:val="24"/>
              </w:rPr>
              <w:t xml:space="preserve"> sukaupta daug ekspertinių žinių ir patirties kibernetinio saugumo mokslinių tyrimų, technologinės ir pramonės plėtros srityje ir nors ES atliekami pasaulinio lygio kibernetinio saugumo technologijų tyrimai, tačiau šios žinios per retai paverčiamos pasaulinio lygio kibernetinio saugumo produktais ir paslaugomis, tai lemia mažesnį konkurencingumą ir veiksmingumą tinklų ir informacinių sistemų apsaugos srityje.</w:t>
            </w:r>
            <w:r w:rsidR="006949C6" w:rsidRPr="00974F0F">
              <w:rPr>
                <w:szCs w:val="24"/>
              </w:rPr>
              <w:t xml:space="preserve"> </w:t>
            </w:r>
            <w:r w:rsidR="002E713C" w:rsidRPr="00974F0F">
              <w:rPr>
                <w:szCs w:val="24"/>
              </w:rPr>
              <w:t xml:space="preserve">ES kibernetinio saugumo įmonės susiduria su daugybe iššūkių bandydamos plėsti savo verslą. Jos pasižymi prastesniais rezultatais, palyginti su ne ES šalių kompanijomis: jų yra mažiau, jos paprastai pritraukia mažiau finansavimo, nepakankamai išvystytos produktų kūrimo galimybės, trūksta veiklos patirties, sudėtinga pasiekti tarptautines rinkas. </w:t>
            </w:r>
          </w:p>
          <w:p w14:paraId="3A29276E" w14:textId="0635B843" w:rsidR="00A67C6F" w:rsidRPr="00974F0F" w:rsidRDefault="00A67C6F" w:rsidP="00C168A5">
            <w:pPr>
              <w:ind w:left="312" w:firstLine="135"/>
              <w:jc w:val="both"/>
              <w:rPr>
                <w:bCs/>
                <w:szCs w:val="24"/>
              </w:rPr>
            </w:pPr>
            <w:r w:rsidRPr="00974F0F">
              <w:rPr>
                <w:rFonts w:eastAsia="Calibri"/>
                <w:bCs/>
                <w:szCs w:val="24"/>
              </w:rPr>
              <w:t xml:space="preserve">Siekiamas pokyčio rezultatas – </w:t>
            </w:r>
            <w:r w:rsidR="006949C6" w:rsidRPr="00974F0F">
              <w:rPr>
                <w:rFonts w:eastAsia="Calibri"/>
                <w:bCs/>
                <w:szCs w:val="24"/>
              </w:rPr>
              <w:t>A</w:t>
            </w:r>
            <w:r w:rsidR="000C3E21" w:rsidRPr="00974F0F">
              <w:rPr>
                <w:rFonts w:eastAsia="Calibri"/>
                <w:bCs/>
                <w:szCs w:val="24"/>
              </w:rPr>
              <w:t xml:space="preserve">, </w:t>
            </w:r>
            <w:r w:rsidR="00974F0F" w:rsidRPr="00974F0F">
              <w:rPr>
                <w:rFonts w:eastAsia="Calibri"/>
                <w:bCs/>
                <w:szCs w:val="24"/>
              </w:rPr>
              <w:t>K</w:t>
            </w:r>
            <w:r w:rsidR="000C3E21" w:rsidRPr="00974F0F">
              <w:rPr>
                <w:rFonts w:eastAsia="Calibri"/>
                <w:bCs/>
                <w:szCs w:val="24"/>
              </w:rPr>
              <w:t xml:space="preserve">. </w:t>
            </w:r>
          </w:p>
          <w:p w14:paraId="75EBF6E9" w14:textId="77777777" w:rsidR="001D0BA2" w:rsidRPr="00974F0F" w:rsidRDefault="001D0BA2" w:rsidP="00E0669A">
            <w:pPr>
              <w:tabs>
                <w:tab w:val="left" w:pos="598"/>
              </w:tabs>
              <w:jc w:val="both"/>
              <w:rPr>
                <w:rFonts w:eastAsia="Calibri"/>
                <w:szCs w:val="24"/>
              </w:rPr>
            </w:pPr>
          </w:p>
          <w:p w14:paraId="167C6E06" w14:textId="708CF7CF" w:rsidR="00FF63F4" w:rsidRPr="00974F0F" w:rsidRDefault="0016023E" w:rsidP="00E0669A">
            <w:pPr>
              <w:tabs>
                <w:tab w:val="left" w:pos="598"/>
              </w:tabs>
              <w:ind w:firstLine="567"/>
              <w:jc w:val="center"/>
              <w:rPr>
                <w:rFonts w:eastAsia="Calibri"/>
                <w:b/>
                <w:bCs/>
                <w:szCs w:val="24"/>
              </w:rPr>
            </w:pPr>
            <w:r>
              <w:rPr>
                <w:rFonts w:eastAsia="Calibri"/>
                <w:b/>
                <w:bCs/>
                <w:szCs w:val="24"/>
              </w:rPr>
              <w:t>Įgyvendinant p</w:t>
            </w:r>
            <w:r w:rsidR="00613E75" w:rsidRPr="00974F0F">
              <w:rPr>
                <w:rFonts w:eastAsia="Calibri"/>
                <w:b/>
                <w:bCs/>
                <w:szCs w:val="24"/>
              </w:rPr>
              <w:t>riemon</w:t>
            </w:r>
            <w:r>
              <w:rPr>
                <w:rFonts w:eastAsia="Calibri"/>
                <w:b/>
                <w:bCs/>
                <w:szCs w:val="24"/>
              </w:rPr>
              <w:t>ę</w:t>
            </w:r>
            <w:r w:rsidR="00613E75" w:rsidRPr="00974F0F">
              <w:rPr>
                <w:rFonts w:eastAsia="Calibri"/>
                <w:b/>
                <w:bCs/>
                <w:szCs w:val="24"/>
              </w:rPr>
              <w:t xml:space="preserve"> siekiamas kiekybinis ir (ar) kokybinis pokytis</w:t>
            </w:r>
          </w:p>
          <w:p w14:paraId="3CC1170A" w14:textId="77777777" w:rsidR="00E67FF2" w:rsidRPr="00974F0F" w:rsidRDefault="00E67FF2" w:rsidP="00E0669A">
            <w:pPr>
              <w:tabs>
                <w:tab w:val="left" w:pos="598"/>
              </w:tabs>
              <w:jc w:val="both"/>
              <w:rPr>
                <w:rFonts w:eastAsia="Calibri"/>
                <w:szCs w:val="24"/>
              </w:rPr>
            </w:pPr>
          </w:p>
          <w:p w14:paraId="68334D37" w14:textId="27403F44" w:rsidR="005D637B" w:rsidRPr="00974F0F" w:rsidRDefault="0016023E" w:rsidP="00C168A5">
            <w:pPr>
              <w:tabs>
                <w:tab w:val="left" w:pos="598"/>
              </w:tabs>
              <w:ind w:firstLine="447"/>
              <w:jc w:val="both"/>
              <w:rPr>
                <w:rFonts w:eastAsia="Calibri"/>
                <w:szCs w:val="24"/>
              </w:rPr>
            </w:pPr>
            <w:r>
              <w:rPr>
                <w:rFonts w:eastAsia="Calibri"/>
                <w:szCs w:val="24"/>
              </w:rPr>
              <w:t>N</w:t>
            </w:r>
            <w:r w:rsidR="00FF63F4" w:rsidRPr="00974F0F">
              <w:rPr>
                <w:rFonts w:eastAsia="Calibri"/>
                <w:szCs w:val="24"/>
              </w:rPr>
              <w:t xml:space="preserve">umatytų problemų atsiradimo priežasčių </w:t>
            </w:r>
            <w:r w:rsidR="00B3628C">
              <w:rPr>
                <w:rFonts w:eastAsia="Calibri"/>
                <w:szCs w:val="24"/>
              </w:rPr>
              <w:t xml:space="preserve">šalinimo </w:t>
            </w:r>
            <w:r w:rsidR="00FF63F4" w:rsidRPr="00974F0F">
              <w:rPr>
                <w:rFonts w:eastAsia="Calibri"/>
                <w:szCs w:val="24"/>
              </w:rPr>
              <w:t>pažangą numatoma pamatuoti šiais rodikliais:</w:t>
            </w:r>
          </w:p>
          <w:p w14:paraId="6FCD1D1C" w14:textId="77777777" w:rsidR="00C168A5" w:rsidRPr="00974F0F" w:rsidRDefault="00C168A5" w:rsidP="00C168A5">
            <w:pPr>
              <w:tabs>
                <w:tab w:val="left" w:pos="598"/>
              </w:tabs>
              <w:ind w:firstLine="447"/>
              <w:jc w:val="both"/>
              <w:rPr>
                <w:rFonts w:eastAsia="Calibri"/>
                <w:szCs w:val="24"/>
              </w:rPr>
            </w:pPr>
          </w:p>
          <w:tbl>
            <w:tblPr>
              <w:tblStyle w:val="TableGrid"/>
              <w:tblW w:w="0" w:type="auto"/>
              <w:jc w:val="center"/>
              <w:tblLook w:val="04A0" w:firstRow="1" w:lastRow="0" w:firstColumn="1" w:lastColumn="0" w:noHBand="0" w:noVBand="1"/>
            </w:tblPr>
            <w:tblGrid>
              <w:gridCol w:w="1257"/>
              <w:gridCol w:w="2595"/>
              <w:gridCol w:w="5307"/>
            </w:tblGrid>
            <w:tr w:rsidR="00A944FC" w:rsidRPr="00974F0F" w14:paraId="3FE5A80D" w14:textId="77777777" w:rsidTr="00974F0F">
              <w:trPr>
                <w:trHeight w:val="549"/>
                <w:jc w:val="center"/>
              </w:trPr>
              <w:tc>
                <w:tcPr>
                  <w:tcW w:w="1257" w:type="dxa"/>
                  <w:shd w:val="clear" w:color="auto" w:fill="D9D9D9" w:themeFill="background1" w:themeFillShade="D9"/>
                  <w:vAlign w:val="center"/>
                </w:tcPr>
                <w:p w14:paraId="13A83403" w14:textId="13C9984A" w:rsidR="00A944FC" w:rsidRPr="00974F0F" w:rsidRDefault="00A944FC" w:rsidP="00A944FC">
                  <w:pPr>
                    <w:tabs>
                      <w:tab w:val="left" w:pos="598"/>
                    </w:tabs>
                    <w:jc w:val="center"/>
                    <w:rPr>
                      <w:rFonts w:eastAsia="Calibri"/>
                      <w:b/>
                      <w:szCs w:val="24"/>
                    </w:rPr>
                  </w:pPr>
                  <w:r w:rsidRPr="00974F0F">
                    <w:rPr>
                      <w:rFonts w:eastAsia="Calibri"/>
                      <w:b/>
                      <w:szCs w:val="24"/>
                    </w:rPr>
                    <w:t>Siekiamas pokyčio rezultatas</w:t>
                  </w:r>
                </w:p>
              </w:tc>
              <w:tc>
                <w:tcPr>
                  <w:tcW w:w="2595" w:type="dxa"/>
                  <w:shd w:val="clear" w:color="auto" w:fill="D9D9D9" w:themeFill="background1" w:themeFillShade="D9"/>
                  <w:vAlign w:val="center"/>
                </w:tcPr>
                <w:p w14:paraId="36E00A57" w14:textId="51761622" w:rsidR="00A944FC" w:rsidRPr="00974F0F" w:rsidRDefault="00A944FC" w:rsidP="00A944FC">
                  <w:pPr>
                    <w:tabs>
                      <w:tab w:val="left" w:pos="598"/>
                    </w:tabs>
                    <w:jc w:val="center"/>
                    <w:rPr>
                      <w:b/>
                      <w:szCs w:val="24"/>
                    </w:rPr>
                  </w:pPr>
                  <w:r w:rsidRPr="00974F0F">
                    <w:rPr>
                      <w:b/>
                      <w:szCs w:val="24"/>
                    </w:rPr>
                    <w:t>Rodiklio kodas</w:t>
                  </w:r>
                </w:p>
              </w:tc>
              <w:tc>
                <w:tcPr>
                  <w:tcW w:w="5307" w:type="dxa"/>
                  <w:shd w:val="clear" w:color="auto" w:fill="D9D9D9" w:themeFill="background1" w:themeFillShade="D9"/>
                  <w:vAlign w:val="center"/>
                </w:tcPr>
                <w:p w14:paraId="4BF98EBC" w14:textId="04A98BA2" w:rsidR="00A944FC" w:rsidRPr="00974F0F" w:rsidRDefault="00A944FC" w:rsidP="00A944FC">
                  <w:pPr>
                    <w:tabs>
                      <w:tab w:val="left" w:pos="598"/>
                    </w:tabs>
                    <w:jc w:val="center"/>
                    <w:rPr>
                      <w:b/>
                      <w:szCs w:val="24"/>
                    </w:rPr>
                  </w:pPr>
                  <w:r w:rsidRPr="00974F0F">
                    <w:rPr>
                      <w:b/>
                      <w:szCs w:val="24"/>
                    </w:rPr>
                    <w:t>Rodiklio pavadinimas</w:t>
                  </w:r>
                </w:p>
              </w:tc>
            </w:tr>
            <w:tr w:rsidR="00C168A5" w:rsidRPr="00974F0F" w14:paraId="43C242AF" w14:textId="77777777" w:rsidTr="00974F0F">
              <w:trPr>
                <w:trHeight w:val="489"/>
                <w:jc w:val="center"/>
              </w:trPr>
              <w:tc>
                <w:tcPr>
                  <w:tcW w:w="1257" w:type="dxa"/>
                  <w:vAlign w:val="center"/>
                </w:tcPr>
                <w:p w14:paraId="37B80A3B" w14:textId="3AF0765E" w:rsidR="00C168A5" w:rsidRPr="00974F0F" w:rsidRDefault="00C168A5" w:rsidP="00A944FC">
                  <w:pPr>
                    <w:tabs>
                      <w:tab w:val="left" w:pos="598"/>
                    </w:tabs>
                    <w:jc w:val="center"/>
                    <w:rPr>
                      <w:rFonts w:eastAsia="Calibri"/>
                      <w:szCs w:val="24"/>
                    </w:rPr>
                  </w:pPr>
                  <w:r w:rsidRPr="00974F0F">
                    <w:rPr>
                      <w:rFonts w:eastAsia="Calibri"/>
                      <w:szCs w:val="24"/>
                    </w:rPr>
                    <w:t>A</w:t>
                  </w:r>
                </w:p>
              </w:tc>
              <w:tc>
                <w:tcPr>
                  <w:tcW w:w="2595" w:type="dxa"/>
                  <w:vAlign w:val="center"/>
                </w:tcPr>
                <w:p w14:paraId="2A6D4890" w14:textId="0E9F6E6E" w:rsidR="00C168A5" w:rsidRPr="00974F0F" w:rsidRDefault="008C46F6" w:rsidP="00C168A5">
                  <w:pPr>
                    <w:tabs>
                      <w:tab w:val="left" w:pos="598"/>
                    </w:tabs>
                    <w:jc w:val="both"/>
                    <w:rPr>
                      <w:rFonts w:eastAsia="Calibri"/>
                      <w:szCs w:val="24"/>
                    </w:rPr>
                  </w:pPr>
                  <w:r w:rsidRPr="00974F0F">
                    <w:rPr>
                      <w:szCs w:val="24"/>
                    </w:rPr>
                    <w:t>R-</w:t>
                  </w:r>
                  <w:r w:rsidR="00C168A5" w:rsidRPr="00974F0F">
                    <w:rPr>
                      <w:szCs w:val="24"/>
                    </w:rPr>
                    <w:t>06-007-10-05-07-01</w:t>
                  </w:r>
                </w:p>
              </w:tc>
              <w:tc>
                <w:tcPr>
                  <w:tcW w:w="5307" w:type="dxa"/>
                  <w:vAlign w:val="center"/>
                </w:tcPr>
                <w:p w14:paraId="3D85740F" w14:textId="515743B7" w:rsidR="00C168A5" w:rsidRPr="00974F0F" w:rsidRDefault="00C168A5" w:rsidP="00A944FC">
                  <w:pPr>
                    <w:tabs>
                      <w:tab w:val="left" w:pos="598"/>
                    </w:tabs>
                    <w:jc w:val="both"/>
                    <w:rPr>
                      <w:rFonts w:eastAsia="Calibri"/>
                      <w:szCs w:val="24"/>
                    </w:rPr>
                  </w:pPr>
                  <w:r w:rsidRPr="00974F0F">
                    <w:rPr>
                      <w:szCs w:val="24"/>
                    </w:rPr>
                    <w:t>Ištirtų kritinių kibernetinių incidentų dalis</w:t>
                  </w:r>
                </w:p>
              </w:tc>
            </w:tr>
            <w:tr w:rsidR="00C168A5" w:rsidRPr="00974F0F" w14:paraId="340DB0AE" w14:textId="77777777" w:rsidTr="00974F0F">
              <w:trPr>
                <w:trHeight w:val="1482"/>
                <w:jc w:val="center"/>
              </w:trPr>
              <w:tc>
                <w:tcPr>
                  <w:tcW w:w="1257" w:type="dxa"/>
                  <w:vAlign w:val="center"/>
                </w:tcPr>
                <w:p w14:paraId="0E85083F" w14:textId="7AC8D2D8" w:rsidR="00C168A5" w:rsidRPr="00974F0F" w:rsidRDefault="00C168A5" w:rsidP="00A944FC">
                  <w:pPr>
                    <w:tabs>
                      <w:tab w:val="left" w:pos="598"/>
                    </w:tabs>
                    <w:jc w:val="center"/>
                    <w:rPr>
                      <w:rFonts w:eastAsia="Calibri"/>
                      <w:szCs w:val="24"/>
                    </w:rPr>
                  </w:pPr>
                  <w:r w:rsidRPr="00974F0F">
                    <w:rPr>
                      <w:rFonts w:eastAsia="Calibri"/>
                      <w:szCs w:val="24"/>
                    </w:rPr>
                    <w:t>B</w:t>
                  </w:r>
                </w:p>
              </w:tc>
              <w:tc>
                <w:tcPr>
                  <w:tcW w:w="2595" w:type="dxa"/>
                  <w:vAlign w:val="center"/>
                </w:tcPr>
                <w:p w14:paraId="209A161B" w14:textId="195C34BF" w:rsidR="00C168A5" w:rsidRPr="00974F0F" w:rsidRDefault="0011456B" w:rsidP="00C168A5">
                  <w:pPr>
                    <w:tabs>
                      <w:tab w:val="left" w:pos="598"/>
                    </w:tabs>
                    <w:jc w:val="both"/>
                    <w:rPr>
                      <w:rFonts w:eastAsia="Calibri"/>
                      <w:szCs w:val="24"/>
                    </w:rPr>
                  </w:pPr>
                  <w:r w:rsidRPr="00974F0F">
                    <w:rPr>
                      <w:szCs w:val="24"/>
                    </w:rPr>
                    <w:t>R-</w:t>
                  </w:r>
                  <w:r w:rsidR="00C168A5" w:rsidRPr="00974F0F">
                    <w:rPr>
                      <w:szCs w:val="24"/>
                    </w:rPr>
                    <w:t>06-007-10-05-07-02</w:t>
                  </w:r>
                </w:p>
              </w:tc>
              <w:tc>
                <w:tcPr>
                  <w:tcW w:w="5307" w:type="dxa"/>
                  <w:vAlign w:val="center"/>
                </w:tcPr>
                <w:p w14:paraId="524ECCA5" w14:textId="64AA2E15" w:rsidR="00C168A5" w:rsidRPr="00974F0F" w:rsidRDefault="00C168A5" w:rsidP="00C168A5">
                  <w:pPr>
                    <w:tabs>
                      <w:tab w:val="left" w:pos="598"/>
                    </w:tabs>
                    <w:jc w:val="both"/>
                    <w:rPr>
                      <w:rFonts w:eastAsia="Calibri"/>
                      <w:szCs w:val="24"/>
                    </w:rPr>
                  </w:pPr>
                  <w:r w:rsidRPr="00974F0F">
                    <w:rPr>
                      <w:szCs w:val="24"/>
                    </w:rPr>
                    <w:t>Atitiktį kibernetinio saugumo organizaciniams ir techniniams reikalavimams deklaravusių kibernetinio saugumo subjektų, valdančių ir (arba) tvarkančių valstybės informacinius išteklius, ypatingos svarbos informacinę infrastruktūrą, dalis</w:t>
                  </w:r>
                </w:p>
              </w:tc>
            </w:tr>
            <w:tr w:rsidR="00C168A5" w:rsidRPr="00974F0F" w14:paraId="0DC46169" w14:textId="77777777" w:rsidTr="00974F0F">
              <w:trPr>
                <w:jc w:val="center"/>
              </w:trPr>
              <w:tc>
                <w:tcPr>
                  <w:tcW w:w="1257" w:type="dxa"/>
                  <w:vAlign w:val="center"/>
                </w:tcPr>
                <w:p w14:paraId="0C3FDBC8" w14:textId="4D177CA0" w:rsidR="00C168A5" w:rsidRPr="00974F0F" w:rsidRDefault="00C168A5" w:rsidP="00A944FC">
                  <w:pPr>
                    <w:tabs>
                      <w:tab w:val="left" w:pos="598"/>
                    </w:tabs>
                    <w:jc w:val="center"/>
                    <w:rPr>
                      <w:rFonts w:eastAsia="Calibri"/>
                      <w:szCs w:val="24"/>
                    </w:rPr>
                  </w:pPr>
                  <w:r w:rsidRPr="00974F0F">
                    <w:rPr>
                      <w:rFonts w:eastAsia="Calibri"/>
                      <w:szCs w:val="24"/>
                    </w:rPr>
                    <w:t>C</w:t>
                  </w:r>
                </w:p>
              </w:tc>
              <w:tc>
                <w:tcPr>
                  <w:tcW w:w="2595" w:type="dxa"/>
                  <w:vAlign w:val="center"/>
                </w:tcPr>
                <w:p w14:paraId="08DF2F99" w14:textId="6282966E" w:rsidR="00C168A5" w:rsidRPr="00974F0F" w:rsidRDefault="0011456B" w:rsidP="00C168A5">
                  <w:pPr>
                    <w:tabs>
                      <w:tab w:val="left" w:pos="598"/>
                    </w:tabs>
                    <w:jc w:val="both"/>
                    <w:rPr>
                      <w:rFonts w:eastAsia="Calibri"/>
                      <w:szCs w:val="24"/>
                    </w:rPr>
                  </w:pPr>
                  <w:r w:rsidRPr="00974F0F">
                    <w:rPr>
                      <w:szCs w:val="24"/>
                    </w:rPr>
                    <w:t>R-</w:t>
                  </w:r>
                  <w:r w:rsidR="00C168A5" w:rsidRPr="00974F0F">
                    <w:rPr>
                      <w:szCs w:val="24"/>
                    </w:rPr>
                    <w:t>06-007-10-05-07-03</w:t>
                  </w:r>
                </w:p>
              </w:tc>
              <w:tc>
                <w:tcPr>
                  <w:tcW w:w="5307" w:type="dxa"/>
                  <w:vAlign w:val="center"/>
                </w:tcPr>
                <w:p w14:paraId="7531ACF0" w14:textId="4A1CBA7B" w:rsidR="00C168A5" w:rsidRPr="00974F0F" w:rsidRDefault="00C168A5" w:rsidP="00C168A5">
                  <w:pPr>
                    <w:tabs>
                      <w:tab w:val="left" w:pos="598"/>
                    </w:tabs>
                    <w:jc w:val="both"/>
                    <w:rPr>
                      <w:rFonts w:eastAsia="Calibri"/>
                      <w:szCs w:val="24"/>
                    </w:rPr>
                  </w:pPr>
                  <w:r w:rsidRPr="00974F0F">
                    <w:rPr>
                      <w:szCs w:val="24"/>
                    </w:rPr>
                    <w:t>Dėl atitikties kibernetinio saugumo organizaciniams ir techniniams reikalavimams įvertintų kibernetinio saugumo subjektų, valdančių ir (arba) tvarkančių ypatingos svarbos informacinę infrastruktūrą, dalis</w:t>
                  </w:r>
                </w:p>
              </w:tc>
            </w:tr>
            <w:tr w:rsidR="00C168A5" w:rsidRPr="00974F0F" w14:paraId="332626FC" w14:textId="77777777" w:rsidTr="00974F0F">
              <w:trPr>
                <w:jc w:val="center"/>
              </w:trPr>
              <w:tc>
                <w:tcPr>
                  <w:tcW w:w="1257" w:type="dxa"/>
                  <w:vAlign w:val="center"/>
                </w:tcPr>
                <w:p w14:paraId="41D9B41D" w14:textId="724205FC" w:rsidR="00C168A5" w:rsidRPr="00974F0F" w:rsidRDefault="00C168A5" w:rsidP="00A944FC">
                  <w:pPr>
                    <w:tabs>
                      <w:tab w:val="left" w:pos="598"/>
                    </w:tabs>
                    <w:jc w:val="center"/>
                    <w:rPr>
                      <w:rFonts w:eastAsia="Calibri"/>
                      <w:szCs w:val="24"/>
                    </w:rPr>
                  </w:pPr>
                  <w:r w:rsidRPr="00974F0F">
                    <w:rPr>
                      <w:rFonts w:eastAsia="Calibri"/>
                      <w:szCs w:val="24"/>
                    </w:rPr>
                    <w:t>D</w:t>
                  </w:r>
                </w:p>
              </w:tc>
              <w:tc>
                <w:tcPr>
                  <w:tcW w:w="2595" w:type="dxa"/>
                  <w:vAlign w:val="center"/>
                </w:tcPr>
                <w:p w14:paraId="57DF9480" w14:textId="47794E22" w:rsidR="00C168A5" w:rsidRPr="00974F0F" w:rsidRDefault="0011456B" w:rsidP="00C168A5">
                  <w:pPr>
                    <w:tabs>
                      <w:tab w:val="left" w:pos="598"/>
                    </w:tabs>
                    <w:jc w:val="both"/>
                    <w:rPr>
                      <w:rFonts w:eastAsia="Calibri"/>
                      <w:szCs w:val="24"/>
                    </w:rPr>
                  </w:pPr>
                  <w:r w:rsidRPr="00974F0F">
                    <w:rPr>
                      <w:szCs w:val="24"/>
                    </w:rPr>
                    <w:t>R-</w:t>
                  </w:r>
                  <w:r w:rsidR="00C168A5" w:rsidRPr="00974F0F">
                    <w:rPr>
                      <w:szCs w:val="24"/>
                    </w:rPr>
                    <w:t>06-007-10-05-07-04</w:t>
                  </w:r>
                </w:p>
              </w:tc>
              <w:tc>
                <w:tcPr>
                  <w:tcW w:w="5307" w:type="dxa"/>
                  <w:vAlign w:val="center"/>
                </w:tcPr>
                <w:p w14:paraId="3750D5C8" w14:textId="0EC11447" w:rsidR="00C168A5" w:rsidRPr="00974F0F" w:rsidRDefault="00C168A5" w:rsidP="00C168A5">
                  <w:pPr>
                    <w:tabs>
                      <w:tab w:val="left" w:pos="598"/>
                    </w:tabs>
                    <w:jc w:val="both"/>
                    <w:rPr>
                      <w:rFonts w:eastAsia="Calibri"/>
                      <w:szCs w:val="24"/>
                    </w:rPr>
                  </w:pPr>
                  <w:r w:rsidRPr="00974F0F">
                    <w:rPr>
                      <w:szCs w:val="24"/>
                    </w:rPr>
                    <w:t>Visuomenės narių, patikrinančių interneto svetainės saugumą prieš teikiant joje savo asmens duomenis, dalis</w:t>
                  </w:r>
                </w:p>
              </w:tc>
            </w:tr>
            <w:tr w:rsidR="00C168A5" w:rsidRPr="00974F0F" w14:paraId="05AFF3C3" w14:textId="77777777" w:rsidTr="00974F0F">
              <w:trPr>
                <w:jc w:val="center"/>
              </w:trPr>
              <w:tc>
                <w:tcPr>
                  <w:tcW w:w="1257" w:type="dxa"/>
                  <w:vAlign w:val="center"/>
                </w:tcPr>
                <w:p w14:paraId="59B25668" w14:textId="511368DD" w:rsidR="00C168A5" w:rsidRPr="00974F0F" w:rsidRDefault="00C168A5" w:rsidP="00A944FC">
                  <w:pPr>
                    <w:tabs>
                      <w:tab w:val="left" w:pos="598"/>
                    </w:tabs>
                    <w:jc w:val="center"/>
                    <w:rPr>
                      <w:rFonts w:eastAsia="Calibri"/>
                      <w:szCs w:val="24"/>
                    </w:rPr>
                  </w:pPr>
                  <w:r w:rsidRPr="00974F0F">
                    <w:rPr>
                      <w:rFonts w:eastAsia="Calibri"/>
                      <w:szCs w:val="24"/>
                    </w:rPr>
                    <w:t>E</w:t>
                  </w:r>
                </w:p>
              </w:tc>
              <w:tc>
                <w:tcPr>
                  <w:tcW w:w="2595" w:type="dxa"/>
                  <w:vAlign w:val="center"/>
                </w:tcPr>
                <w:p w14:paraId="29A9AADA" w14:textId="1301514C" w:rsidR="00C168A5" w:rsidRPr="00974F0F" w:rsidRDefault="0011456B" w:rsidP="00C168A5">
                  <w:pPr>
                    <w:tabs>
                      <w:tab w:val="left" w:pos="598"/>
                    </w:tabs>
                    <w:jc w:val="both"/>
                    <w:rPr>
                      <w:rFonts w:eastAsia="Calibri"/>
                      <w:szCs w:val="24"/>
                    </w:rPr>
                  </w:pPr>
                  <w:r w:rsidRPr="00974F0F">
                    <w:rPr>
                      <w:szCs w:val="24"/>
                    </w:rPr>
                    <w:t>R-</w:t>
                  </w:r>
                  <w:r w:rsidR="00C168A5" w:rsidRPr="00974F0F">
                    <w:rPr>
                      <w:szCs w:val="24"/>
                    </w:rPr>
                    <w:t>06-007-10-05-07-05</w:t>
                  </w:r>
                </w:p>
              </w:tc>
              <w:tc>
                <w:tcPr>
                  <w:tcW w:w="5307" w:type="dxa"/>
                  <w:vAlign w:val="center"/>
                </w:tcPr>
                <w:p w14:paraId="6D0C2337" w14:textId="57EFE092" w:rsidR="00C168A5" w:rsidRPr="00974F0F" w:rsidRDefault="00C168A5" w:rsidP="00C168A5">
                  <w:pPr>
                    <w:tabs>
                      <w:tab w:val="left" w:pos="598"/>
                    </w:tabs>
                    <w:jc w:val="both"/>
                    <w:rPr>
                      <w:rFonts w:eastAsia="Calibri"/>
                      <w:szCs w:val="24"/>
                    </w:rPr>
                  </w:pPr>
                  <w:r w:rsidRPr="00974F0F">
                    <w:rPr>
                      <w:szCs w:val="24"/>
                    </w:rPr>
                    <w:t>Kibernetinio saugumo subjektų vadovų, sėkmingai išlaikiusių kibernetinio saugumo žinių ir kompetencijų įvertinimo testus, dalis</w:t>
                  </w:r>
                </w:p>
              </w:tc>
            </w:tr>
            <w:tr w:rsidR="002E6ACB" w:rsidRPr="00974F0F" w14:paraId="213A7C1B" w14:textId="77777777" w:rsidTr="00974F0F">
              <w:trPr>
                <w:trHeight w:val="517"/>
                <w:jc w:val="center"/>
              </w:trPr>
              <w:tc>
                <w:tcPr>
                  <w:tcW w:w="1257" w:type="dxa"/>
                  <w:vAlign w:val="center"/>
                </w:tcPr>
                <w:p w14:paraId="7D649924" w14:textId="577E0293" w:rsidR="002E6ACB" w:rsidRPr="00974F0F" w:rsidRDefault="002E6ACB" w:rsidP="00A944FC">
                  <w:pPr>
                    <w:tabs>
                      <w:tab w:val="left" w:pos="598"/>
                    </w:tabs>
                    <w:jc w:val="center"/>
                    <w:rPr>
                      <w:rFonts w:eastAsia="Calibri"/>
                      <w:szCs w:val="24"/>
                    </w:rPr>
                  </w:pPr>
                  <w:r w:rsidRPr="00974F0F">
                    <w:rPr>
                      <w:rFonts w:eastAsia="Calibri"/>
                      <w:szCs w:val="24"/>
                    </w:rPr>
                    <w:t>F</w:t>
                  </w:r>
                </w:p>
              </w:tc>
              <w:tc>
                <w:tcPr>
                  <w:tcW w:w="2595" w:type="dxa"/>
                  <w:vAlign w:val="center"/>
                </w:tcPr>
                <w:p w14:paraId="1753ED78" w14:textId="0D20C307" w:rsidR="002E6ACB" w:rsidRPr="00974F0F" w:rsidRDefault="002E6ACB" w:rsidP="00C168A5">
                  <w:pPr>
                    <w:tabs>
                      <w:tab w:val="left" w:pos="598"/>
                    </w:tabs>
                    <w:jc w:val="both"/>
                    <w:rPr>
                      <w:szCs w:val="24"/>
                    </w:rPr>
                  </w:pPr>
                  <w:r w:rsidRPr="00974F0F">
                    <w:rPr>
                      <w:szCs w:val="24"/>
                    </w:rPr>
                    <w:t>R-06-007-10-05-07-06</w:t>
                  </w:r>
                </w:p>
              </w:tc>
              <w:tc>
                <w:tcPr>
                  <w:tcW w:w="5307" w:type="dxa"/>
                  <w:vAlign w:val="center"/>
                </w:tcPr>
                <w:p w14:paraId="09C9E3F2" w14:textId="3F3605C9" w:rsidR="002E6ACB" w:rsidRPr="00974F0F" w:rsidRDefault="002E6ACB" w:rsidP="005A1D41">
                  <w:pPr>
                    <w:tabs>
                      <w:tab w:val="left" w:pos="598"/>
                    </w:tabs>
                    <w:jc w:val="both"/>
                    <w:rPr>
                      <w:szCs w:val="24"/>
                    </w:rPr>
                  </w:pPr>
                  <w:r w:rsidRPr="00974F0F">
                    <w:rPr>
                      <w:szCs w:val="24"/>
                    </w:rPr>
                    <w:t>Švietimo ar mokymo veiklos dalyvių skaičius</w:t>
                  </w:r>
                </w:p>
              </w:tc>
            </w:tr>
            <w:tr w:rsidR="00BA27B2" w:rsidRPr="00974F0F" w14:paraId="5E25992D" w14:textId="77777777" w:rsidTr="00974F0F">
              <w:trPr>
                <w:jc w:val="center"/>
              </w:trPr>
              <w:tc>
                <w:tcPr>
                  <w:tcW w:w="1257" w:type="dxa"/>
                  <w:vAlign w:val="center"/>
                </w:tcPr>
                <w:p w14:paraId="1122FFD8" w14:textId="7DB83B65" w:rsidR="00BA27B2" w:rsidRPr="00974F0F" w:rsidRDefault="002E6ACB" w:rsidP="00A944FC">
                  <w:pPr>
                    <w:tabs>
                      <w:tab w:val="left" w:pos="598"/>
                    </w:tabs>
                    <w:jc w:val="center"/>
                    <w:rPr>
                      <w:rFonts w:eastAsia="Calibri"/>
                      <w:szCs w:val="24"/>
                    </w:rPr>
                  </w:pPr>
                  <w:r w:rsidRPr="00974F0F">
                    <w:rPr>
                      <w:rFonts w:eastAsia="Calibri"/>
                      <w:szCs w:val="24"/>
                    </w:rPr>
                    <w:t>G</w:t>
                  </w:r>
                </w:p>
              </w:tc>
              <w:tc>
                <w:tcPr>
                  <w:tcW w:w="2595" w:type="dxa"/>
                  <w:vAlign w:val="center"/>
                </w:tcPr>
                <w:p w14:paraId="06BDB360" w14:textId="6F70CF21" w:rsidR="00BA27B2" w:rsidRPr="00974F0F" w:rsidRDefault="00843BC1" w:rsidP="002E6ACB">
                  <w:pPr>
                    <w:tabs>
                      <w:tab w:val="left" w:pos="598"/>
                    </w:tabs>
                    <w:jc w:val="both"/>
                    <w:rPr>
                      <w:szCs w:val="24"/>
                    </w:rPr>
                  </w:pPr>
                  <w:r w:rsidRPr="00974F0F">
                    <w:rPr>
                      <w:szCs w:val="24"/>
                    </w:rPr>
                    <w:t>R-06-007-10-05-07-0</w:t>
                  </w:r>
                  <w:r w:rsidR="002E6ACB" w:rsidRPr="00974F0F">
                    <w:rPr>
                      <w:szCs w:val="24"/>
                    </w:rPr>
                    <w:t>7</w:t>
                  </w:r>
                </w:p>
              </w:tc>
              <w:tc>
                <w:tcPr>
                  <w:tcW w:w="5307" w:type="dxa"/>
                  <w:vAlign w:val="center"/>
                </w:tcPr>
                <w:p w14:paraId="36971C4D" w14:textId="22E51C57" w:rsidR="00BA27B2" w:rsidRPr="00974F0F" w:rsidRDefault="00843BC1" w:rsidP="0016023E">
                  <w:pPr>
                    <w:tabs>
                      <w:tab w:val="left" w:pos="598"/>
                    </w:tabs>
                    <w:jc w:val="both"/>
                    <w:rPr>
                      <w:szCs w:val="24"/>
                    </w:rPr>
                  </w:pPr>
                  <w:r w:rsidRPr="00974F0F">
                    <w:rPr>
                      <w:szCs w:val="24"/>
                    </w:rPr>
                    <w:t>Švietimo ar mokymo veiklos dalyvių skaičius</w:t>
                  </w:r>
                  <w:r w:rsidR="0016023E">
                    <w:rPr>
                      <w:szCs w:val="24"/>
                    </w:rPr>
                    <w:t>,</w:t>
                  </w:r>
                  <w:r w:rsidRPr="00974F0F">
                    <w:rPr>
                      <w:szCs w:val="24"/>
                    </w:rPr>
                    <w:t xml:space="preserve"> iš jų skaitmeninių įgūdžių ugdymo veiklos dalyvių skaičius</w:t>
                  </w:r>
                </w:p>
              </w:tc>
            </w:tr>
            <w:tr w:rsidR="00C168A5" w:rsidRPr="00974F0F" w14:paraId="3811670F" w14:textId="77777777" w:rsidTr="00974F0F">
              <w:trPr>
                <w:jc w:val="center"/>
              </w:trPr>
              <w:tc>
                <w:tcPr>
                  <w:tcW w:w="1257" w:type="dxa"/>
                  <w:vAlign w:val="center"/>
                </w:tcPr>
                <w:p w14:paraId="4A274034" w14:textId="74CE4860" w:rsidR="00C168A5" w:rsidRPr="00974F0F" w:rsidRDefault="002E6ACB" w:rsidP="00A944FC">
                  <w:pPr>
                    <w:tabs>
                      <w:tab w:val="left" w:pos="598"/>
                    </w:tabs>
                    <w:jc w:val="center"/>
                    <w:rPr>
                      <w:rFonts w:eastAsia="Calibri"/>
                      <w:szCs w:val="24"/>
                    </w:rPr>
                  </w:pPr>
                  <w:r w:rsidRPr="00974F0F">
                    <w:rPr>
                      <w:rFonts w:eastAsia="Calibri"/>
                      <w:szCs w:val="24"/>
                    </w:rPr>
                    <w:t>H</w:t>
                  </w:r>
                </w:p>
              </w:tc>
              <w:tc>
                <w:tcPr>
                  <w:tcW w:w="2595" w:type="dxa"/>
                  <w:vAlign w:val="center"/>
                </w:tcPr>
                <w:p w14:paraId="5ED6E5DA" w14:textId="57B9326E" w:rsidR="00C168A5" w:rsidRPr="00974F0F" w:rsidRDefault="008C46F6" w:rsidP="008C46F6">
                  <w:pPr>
                    <w:tabs>
                      <w:tab w:val="left" w:pos="598"/>
                    </w:tabs>
                    <w:jc w:val="both"/>
                    <w:rPr>
                      <w:rFonts w:eastAsia="Calibri"/>
                      <w:szCs w:val="24"/>
                    </w:rPr>
                  </w:pPr>
                  <w:r w:rsidRPr="00974F0F">
                    <w:rPr>
                      <w:szCs w:val="24"/>
                    </w:rPr>
                    <w:t>P-</w:t>
                  </w:r>
                  <w:r w:rsidR="00C168A5" w:rsidRPr="00974F0F">
                    <w:rPr>
                      <w:szCs w:val="24"/>
                    </w:rPr>
                    <w:t>06-007-10-05-07-0</w:t>
                  </w:r>
                  <w:r w:rsidRPr="00974F0F">
                    <w:rPr>
                      <w:szCs w:val="24"/>
                    </w:rPr>
                    <w:t>1</w:t>
                  </w:r>
                </w:p>
              </w:tc>
              <w:tc>
                <w:tcPr>
                  <w:tcW w:w="5307" w:type="dxa"/>
                  <w:vAlign w:val="center"/>
                </w:tcPr>
                <w:p w14:paraId="753CC9AA" w14:textId="4F7409B5" w:rsidR="00C168A5" w:rsidRPr="00974F0F" w:rsidRDefault="00A144B8" w:rsidP="00A144B8">
                  <w:pPr>
                    <w:tabs>
                      <w:tab w:val="left" w:pos="598"/>
                    </w:tabs>
                    <w:jc w:val="both"/>
                    <w:rPr>
                      <w:rFonts w:eastAsia="Calibri"/>
                      <w:szCs w:val="24"/>
                    </w:rPr>
                  </w:pPr>
                  <w:r>
                    <w:rPr>
                      <w:szCs w:val="24"/>
                    </w:rPr>
                    <w:t>Nacionalinės ki</w:t>
                  </w:r>
                  <w:r w:rsidR="00C168A5" w:rsidRPr="00974F0F">
                    <w:rPr>
                      <w:szCs w:val="24"/>
                    </w:rPr>
                    <w:t>bernetinio saugumo stebėsenos sistemos sukūrimas</w:t>
                  </w:r>
                </w:p>
              </w:tc>
            </w:tr>
            <w:tr w:rsidR="00C168A5" w:rsidRPr="00974F0F" w14:paraId="5DD633CF" w14:textId="77777777" w:rsidTr="00974F0F">
              <w:trPr>
                <w:trHeight w:val="523"/>
                <w:jc w:val="center"/>
              </w:trPr>
              <w:tc>
                <w:tcPr>
                  <w:tcW w:w="1257" w:type="dxa"/>
                  <w:vAlign w:val="center"/>
                </w:tcPr>
                <w:p w14:paraId="4084EEB3" w14:textId="40744C28" w:rsidR="00C168A5" w:rsidRPr="00974F0F" w:rsidRDefault="002E6ACB" w:rsidP="00A944FC">
                  <w:pPr>
                    <w:tabs>
                      <w:tab w:val="left" w:pos="598"/>
                    </w:tabs>
                    <w:jc w:val="center"/>
                    <w:rPr>
                      <w:rFonts w:eastAsia="Calibri"/>
                      <w:szCs w:val="24"/>
                    </w:rPr>
                  </w:pPr>
                  <w:r w:rsidRPr="00974F0F">
                    <w:rPr>
                      <w:rFonts w:eastAsia="Calibri"/>
                      <w:szCs w:val="24"/>
                    </w:rPr>
                    <w:t>I</w:t>
                  </w:r>
                </w:p>
              </w:tc>
              <w:tc>
                <w:tcPr>
                  <w:tcW w:w="2595" w:type="dxa"/>
                  <w:vAlign w:val="center"/>
                </w:tcPr>
                <w:p w14:paraId="46C6135B" w14:textId="76D07EBF" w:rsidR="00C168A5" w:rsidRPr="00974F0F" w:rsidRDefault="0011456B" w:rsidP="0011456B">
                  <w:pPr>
                    <w:tabs>
                      <w:tab w:val="left" w:pos="598"/>
                    </w:tabs>
                    <w:jc w:val="both"/>
                    <w:rPr>
                      <w:szCs w:val="24"/>
                    </w:rPr>
                  </w:pPr>
                  <w:r w:rsidRPr="00974F0F">
                    <w:rPr>
                      <w:szCs w:val="24"/>
                    </w:rPr>
                    <w:t>P-</w:t>
                  </w:r>
                  <w:r w:rsidR="00C168A5" w:rsidRPr="00974F0F">
                    <w:rPr>
                      <w:szCs w:val="24"/>
                    </w:rPr>
                    <w:t>06-007-10-05-07-0</w:t>
                  </w:r>
                  <w:r w:rsidRPr="00974F0F">
                    <w:rPr>
                      <w:szCs w:val="24"/>
                    </w:rPr>
                    <w:t>2</w:t>
                  </w:r>
                </w:p>
              </w:tc>
              <w:tc>
                <w:tcPr>
                  <w:tcW w:w="5307" w:type="dxa"/>
                  <w:vAlign w:val="center"/>
                </w:tcPr>
                <w:p w14:paraId="37E16B17" w14:textId="25A4A6A6" w:rsidR="00C168A5" w:rsidRPr="00974F0F" w:rsidRDefault="00A144B8" w:rsidP="00C168A5">
                  <w:pPr>
                    <w:tabs>
                      <w:tab w:val="left" w:pos="598"/>
                    </w:tabs>
                    <w:jc w:val="both"/>
                    <w:rPr>
                      <w:szCs w:val="24"/>
                    </w:rPr>
                  </w:pPr>
                  <w:r w:rsidRPr="00A144B8">
                    <w:rPr>
                      <w:szCs w:val="24"/>
                    </w:rPr>
                    <w:t>Pajėgumų tirti kibernetinius nusikaltimus stiprinimas</w:t>
                  </w:r>
                </w:p>
              </w:tc>
            </w:tr>
            <w:tr w:rsidR="00C168A5" w:rsidRPr="00974F0F" w14:paraId="3195DC2C" w14:textId="77777777" w:rsidTr="00974F0F">
              <w:trPr>
                <w:trHeight w:val="559"/>
                <w:jc w:val="center"/>
              </w:trPr>
              <w:tc>
                <w:tcPr>
                  <w:tcW w:w="1257" w:type="dxa"/>
                  <w:vAlign w:val="center"/>
                </w:tcPr>
                <w:p w14:paraId="0C3429B2" w14:textId="3CD94234" w:rsidR="00C168A5" w:rsidRPr="00974F0F" w:rsidRDefault="002E6ACB" w:rsidP="00A944FC">
                  <w:pPr>
                    <w:tabs>
                      <w:tab w:val="left" w:pos="598"/>
                    </w:tabs>
                    <w:jc w:val="center"/>
                    <w:rPr>
                      <w:rFonts w:eastAsia="Calibri"/>
                      <w:szCs w:val="24"/>
                    </w:rPr>
                  </w:pPr>
                  <w:r w:rsidRPr="00974F0F">
                    <w:rPr>
                      <w:rFonts w:eastAsia="Calibri"/>
                      <w:szCs w:val="24"/>
                    </w:rPr>
                    <w:t>J</w:t>
                  </w:r>
                </w:p>
              </w:tc>
              <w:tc>
                <w:tcPr>
                  <w:tcW w:w="2595" w:type="dxa"/>
                  <w:vAlign w:val="center"/>
                </w:tcPr>
                <w:p w14:paraId="4830467D" w14:textId="379B6EF5" w:rsidR="00C168A5" w:rsidRPr="00974F0F" w:rsidRDefault="0011456B" w:rsidP="0011456B">
                  <w:pPr>
                    <w:tabs>
                      <w:tab w:val="left" w:pos="598"/>
                    </w:tabs>
                    <w:jc w:val="both"/>
                    <w:rPr>
                      <w:szCs w:val="24"/>
                    </w:rPr>
                  </w:pPr>
                  <w:r w:rsidRPr="00974F0F">
                    <w:rPr>
                      <w:szCs w:val="24"/>
                    </w:rPr>
                    <w:t>P-</w:t>
                  </w:r>
                  <w:r w:rsidR="00C168A5" w:rsidRPr="00974F0F">
                    <w:rPr>
                      <w:szCs w:val="24"/>
                    </w:rPr>
                    <w:t>06-007-10-05-07-0</w:t>
                  </w:r>
                  <w:r w:rsidRPr="00974F0F">
                    <w:rPr>
                      <w:szCs w:val="24"/>
                    </w:rPr>
                    <w:t>3</w:t>
                  </w:r>
                </w:p>
              </w:tc>
              <w:tc>
                <w:tcPr>
                  <w:tcW w:w="5307" w:type="dxa"/>
                  <w:vAlign w:val="center"/>
                </w:tcPr>
                <w:p w14:paraId="7F0D056B" w14:textId="0918F31E" w:rsidR="00C168A5" w:rsidRPr="00974F0F" w:rsidRDefault="00A144B8" w:rsidP="00A144B8">
                  <w:pPr>
                    <w:tabs>
                      <w:tab w:val="left" w:pos="598"/>
                    </w:tabs>
                    <w:jc w:val="both"/>
                    <w:rPr>
                      <w:szCs w:val="24"/>
                    </w:rPr>
                  </w:pPr>
                  <w:r>
                    <w:rPr>
                      <w:szCs w:val="24"/>
                    </w:rPr>
                    <w:t>Užb</w:t>
                  </w:r>
                  <w:r w:rsidR="00C168A5" w:rsidRPr="00974F0F">
                    <w:rPr>
                      <w:szCs w:val="24"/>
                    </w:rPr>
                    <w:t>aigti kibernetinio saugumo mokymai</w:t>
                  </w:r>
                </w:p>
              </w:tc>
            </w:tr>
            <w:tr w:rsidR="00A944FC" w:rsidRPr="00974F0F" w14:paraId="3866EC1B" w14:textId="77777777" w:rsidTr="00974F0F">
              <w:trPr>
                <w:jc w:val="center"/>
              </w:trPr>
              <w:tc>
                <w:tcPr>
                  <w:tcW w:w="1257" w:type="dxa"/>
                  <w:vAlign w:val="center"/>
                </w:tcPr>
                <w:p w14:paraId="7882713C" w14:textId="6697AC76" w:rsidR="00A944FC" w:rsidRPr="00974F0F" w:rsidRDefault="002E6ACB" w:rsidP="002E6ACB">
                  <w:pPr>
                    <w:tabs>
                      <w:tab w:val="left" w:pos="598"/>
                    </w:tabs>
                    <w:jc w:val="center"/>
                    <w:rPr>
                      <w:rFonts w:eastAsia="Calibri"/>
                      <w:szCs w:val="24"/>
                    </w:rPr>
                  </w:pPr>
                  <w:r w:rsidRPr="00974F0F">
                    <w:rPr>
                      <w:rFonts w:eastAsia="Calibri"/>
                      <w:szCs w:val="24"/>
                    </w:rPr>
                    <w:t xml:space="preserve"> K</w:t>
                  </w:r>
                </w:p>
              </w:tc>
              <w:tc>
                <w:tcPr>
                  <w:tcW w:w="2595" w:type="dxa"/>
                  <w:vAlign w:val="center"/>
                </w:tcPr>
                <w:p w14:paraId="3F3F1185" w14:textId="60FC735C" w:rsidR="00A944FC" w:rsidRPr="00974F0F" w:rsidRDefault="0011456B" w:rsidP="0011456B">
                  <w:pPr>
                    <w:tabs>
                      <w:tab w:val="left" w:pos="598"/>
                    </w:tabs>
                    <w:jc w:val="both"/>
                    <w:rPr>
                      <w:szCs w:val="24"/>
                    </w:rPr>
                  </w:pPr>
                  <w:r w:rsidRPr="00974F0F">
                    <w:rPr>
                      <w:szCs w:val="24"/>
                    </w:rPr>
                    <w:t>P-</w:t>
                  </w:r>
                  <w:r w:rsidR="00A944FC" w:rsidRPr="00974F0F">
                    <w:rPr>
                      <w:szCs w:val="24"/>
                    </w:rPr>
                    <w:t>06-007-10-05-07-0</w:t>
                  </w:r>
                  <w:r w:rsidRPr="00974F0F">
                    <w:rPr>
                      <w:szCs w:val="24"/>
                    </w:rPr>
                    <w:t>4</w:t>
                  </w:r>
                  <w:r w:rsidR="00A944FC" w:rsidRPr="00974F0F" w:rsidDel="00D91F88">
                    <w:rPr>
                      <w:szCs w:val="24"/>
                    </w:rPr>
                    <w:t xml:space="preserve"> </w:t>
                  </w:r>
                  <w:r w:rsidR="00A944FC" w:rsidRPr="00974F0F">
                    <w:rPr>
                      <w:szCs w:val="24"/>
                    </w:rPr>
                    <w:t xml:space="preserve"> </w:t>
                  </w:r>
                </w:p>
              </w:tc>
              <w:tc>
                <w:tcPr>
                  <w:tcW w:w="5307" w:type="dxa"/>
                  <w:vAlign w:val="center"/>
                </w:tcPr>
                <w:p w14:paraId="718FE591" w14:textId="4A7CEE2D" w:rsidR="00A944FC" w:rsidRPr="00974F0F" w:rsidRDefault="000C7E78" w:rsidP="006C7E40">
                  <w:pPr>
                    <w:tabs>
                      <w:tab w:val="left" w:pos="598"/>
                    </w:tabs>
                    <w:jc w:val="both"/>
                    <w:rPr>
                      <w:szCs w:val="24"/>
                    </w:rPr>
                  </w:pPr>
                  <w:r w:rsidRPr="00974F0F">
                    <w:rPr>
                      <w:szCs w:val="24"/>
                    </w:rPr>
                    <w:t>Suteikta finansinė parama smulkaus ir vidutinio verslo subjektams kibernetin</w:t>
                  </w:r>
                  <w:r w:rsidR="006C7E40">
                    <w:rPr>
                      <w:szCs w:val="24"/>
                    </w:rPr>
                    <w:t>iam</w:t>
                  </w:r>
                  <w:r w:rsidRPr="00974F0F">
                    <w:rPr>
                      <w:szCs w:val="24"/>
                    </w:rPr>
                    <w:t xml:space="preserve"> atsparum</w:t>
                  </w:r>
                  <w:r w:rsidR="006C7E40">
                    <w:rPr>
                      <w:szCs w:val="24"/>
                    </w:rPr>
                    <w:t>ui</w:t>
                  </w:r>
                  <w:r w:rsidR="006C7E40" w:rsidRPr="00974F0F">
                    <w:rPr>
                      <w:szCs w:val="24"/>
                    </w:rPr>
                    <w:t xml:space="preserve"> stiprinti</w:t>
                  </w:r>
                </w:p>
              </w:tc>
            </w:tr>
            <w:tr w:rsidR="00A944FC" w:rsidRPr="00974F0F" w14:paraId="08C6B4F8" w14:textId="77777777" w:rsidTr="00974F0F">
              <w:trPr>
                <w:jc w:val="center"/>
              </w:trPr>
              <w:tc>
                <w:tcPr>
                  <w:tcW w:w="1257" w:type="dxa"/>
                  <w:vAlign w:val="center"/>
                </w:tcPr>
                <w:p w14:paraId="048EC4DE" w14:textId="316B2F00" w:rsidR="00A944FC" w:rsidRPr="00974F0F" w:rsidRDefault="002E6ACB" w:rsidP="002E6ACB">
                  <w:pPr>
                    <w:tabs>
                      <w:tab w:val="left" w:pos="598"/>
                    </w:tabs>
                    <w:jc w:val="center"/>
                    <w:rPr>
                      <w:rFonts w:eastAsia="Calibri"/>
                      <w:szCs w:val="24"/>
                    </w:rPr>
                  </w:pPr>
                  <w:r w:rsidRPr="00974F0F">
                    <w:rPr>
                      <w:rFonts w:eastAsia="Calibri"/>
                      <w:szCs w:val="24"/>
                    </w:rPr>
                    <w:t xml:space="preserve"> L</w:t>
                  </w:r>
                </w:p>
              </w:tc>
              <w:tc>
                <w:tcPr>
                  <w:tcW w:w="2595" w:type="dxa"/>
                  <w:vAlign w:val="center"/>
                </w:tcPr>
                <w:p w14:paraId="742330FE" w14:textId="4FE27FC4" w:rsidR="00A944FC" w:rsidRPr="00974F0F" w:rsidRDefault="0011456B" w:rsidP="0011456B">
                  <w:pPr>
                    <w:tabs>
                      <w:tab w:val="left" w:pos="598"/>
                    </w:tabs>
                    <w:jc w:val="both"/>
                    <w:rPr>
                      <w:szCs w:val="24"/>
                    </w:rPr>
                  </w:pPr>
                  <w:r w:rsidRPr="00974F0F">
                    <w:rPr>
                      <w:szCs w:val="24"/>
                    </w:rPr>
                    <w:t>P-</w:t>
                  </w:r>
                  <w:r w:rsidR="00A944FC" w:rsidRPr="00974F0F">
                    <w:rPr>
                      <w:szCs w:val="24"/>
                    </w:rPr>
                    <w:t>06-007-10-05-07-</w:t>
                  </w:r>
                  <w:r w:rsidRPr="00974F0F">
                    <w:rPr>
                      <w:szCs w:val="24"/>
                    </w:rPr>
                    <w:t>05</w:t>
                  </w:r>
                  <w:r w:rsidR="00A944FC" w:rsidRPr="00974F0F" w:rsidDel="00D91F88">
                    <w:rPr>
                      <w:szCs w:val="24"/>
                    </w:rPr>
                    <w:t xml:space="preserve"> </w:t>
                  </w:r>
                  <w:r w:rsidR="00A944FC" w:rsidRPr="00974F0F">
                    <w:rPr>
                      <w:szCs w:val="24"/>
                    </w:rPr>
                    <w:t xml:space="preserve"> </w:t>
                  </w:r>
                </w:p>
              </w:tc>
              <w:tc>
                <w:tcPr>
                  <w:tcW w:w="5307" w:type="dxa"/>
                  <w:vAlign w:val="center"/>
                </w:tcPr>
                <w:p w14:paraId="051B70E5" w14:textId="61F48B19" w:rsidR="00A944FC" w:rsidRPr="00974F0F" w:rsidRDefault="003946A3" w:rsidP="00A944FC">
                  <w:pPr>
                    <w:tabs>
                      <w:tab w:val="left" w:pos="598"/>
                    </w:tabs>
                    <w:jc w:val="both"/>
                    <w:rPr>
                      <w:szCs w:val="24"/>
                    </w:rPr>
                  </w:pPr>
                  <w:r w:rsidRPr="00974F0F">
                    <w:rPr>
                      <w:szCs w:val="24"/>
                    </w:rPr>
                    <w:t>Sukurta dinamiška ir aktyvi Lietuvos kibernetinio saugumo bendruomenė</w:t>
                  </w:r>
                </w:p>
              </w:tc>
            </w:tr>
          </w:tbl>
          <w:p w14:paraId="4644E3E9" w14:textId="77777777" w:rsidR="00C168A5" w:rsidRPr="00974F0F" w:rsidRDefault="00C168A5" w:rsidP="00C168A5">
            <w:pPr>
              <w:tabs>
                <w:tab w:val="left" w:pos="598"/>
              </w:tabs>
              <w:ind w:firstLine="447"/>
              <w:jc w:val="both"/>
              <w:rPr>
                <w:rFonts w:eastAsia="Calibri"/>
                <w:szCs w:val="24"/>
              </w:rPr>
            </w:pPr>
          </w:p>
          <w:p w14:paraId="153AB012" w14:textId="267319A7" w:rsidR="001D0BA2" w:rsidRPr="00974F0F" w:rsidRDefault="00650505" w:rsidP="000C3E21">
            <w:pPr>
              <w:tabs>
                <w:tab w:val="left" w:pos="598"/>
              </w:tabs>
              <w:ind w:firstLine="567"/>
              <w:jc w:val="both"/>
              <w:rPr>
                <w:rFonts w:eastAsia="Calibri"/>
                <w:szCs w:val="24"/>
              </w:rPr>
            </w:pPr>
            <w:r w:rsidRPr="00974F0F">
              <w:rPr>
                <w:rFonts w:eastAsia="Calibri"/>
                <w:szCs w:val="24"/>
              </w:rPr>
              <w:t>Identifikuotų</w:t>
            </w:r>
            <w:r w:rsidR="00247C34" w:rsidRPr="00974F0F">
              <w:rPr>
                <w:szCs w:val="24"/>
              </w:rPr>
              <w:t xml:space="preserve"> problemos priežasčių sąsaj</w:t>
            </w:r>
            <w:r w:rsidR="00613E75" w:rsidRPr="00974F0F">
              <w:rPr>
                <w:szCs w:val="24"/>
              </w:rPr>
              <w:t>a su</w:t>
            </w:r>
            <w:r w:rsidR="00247C34" w:rsidRPr="00974F0F">
              <w:rPr>
                <w:szCs w:val="24"/>
              </w:rPr>
              <w:t xml:space="preserve"> siekiam</w:t>
            </w:r>
            <w:r w:rsidR="00613E75" w:rsidRPr="00974F0F">
              <w:rPr>
                <w:szCs w:val="24"/>
              </w:rPr>
              <w:t>ais rezultato rodikliais</w:t>
            </w:r>
            <w:r w:rsidRPr="00974F0F">
              <w:rPr>
                <w:szCs w:val="24"/>
              </w:rPr>
              <w:t xml:space="preserve"> pateikiama prie kiekvienos </w:t>
            </w:r>
            <w:r w:rsidR="00A01319" w:rsidRPr="00974F0F">
              <w:rPr>
                <w:szCs w:val="24"/>
              </w:rPr>
              <w:t xml:space="preserve">iš </w:t>
            </w:r>
            <w:r w:rsidRPr="00974F0F">
              <w:rPr>
                <w:szCs w:val="24"/>
              </w:rPr>
              <w:t>priežasčių.</w:t>
            </w:r>
          </w:p>
        </w:tc>
      </w:tr>
    </w:tbl>
    <w:p w14:paraId="0BF25968" w14:textId="77777777" w:rsidR="00A13816" w:rsidRPr="00974F0F" w:rsidRDefault="00A13816">
      <w:pPr>
        <w:jc w:val="center"/>
        <w:rPr>
          <w:b/>
          <w:bCs/>
          <w:szCs w:val="24"/>
        </w:rPr>
      </w:pPr>
    </w:p>
    <w:p w14:paraId="7ADD9332" w14:textId="77777777" w:rsidR="00A13816" w:rsidRPr="00974F0F" w:rsidRDefault="00020307">
      <w:pPr>
        <w:jc w:val="center"/>
        <w:rPr>
          <w:b/>
          <w:bCs/>
          <w:szCs w:val="24"/>
        </w:rPr>
      </w:pPr>
      <w:r w:rsidRPr="00974F0F">
        <w:rPr>
          <w:b/>
          <w:bCs/>
          <w:szCs w:val="24"/>
        </w:rPr>
        <w:t>III SKYRIUS</w:t>
      </w:r>
    </w:p>
    <w:p w14:paraId="2164D70F" w14:textId="77777777" w:rsidR="00A13816" w:rsidRPr="00974F0F" w:rsidRDefault="00020307">
      <w:pPr>
        <w:jc w:val="center"/>
        <w:rPr>
          <w:b/>
          <w:bCs/>
          <w:szCs w:val="24"/>
        </w:rPr>
      </w:pPr>
      <w:r w:rsidRPr="00974F0F">
        <w:rPr>
          <w:b/>
          <w:bCs/>
          <w:szCs w:val="24"/>
        </w:rPr>
        <w:t>ALTERNATYVŲ ANALIZĖ</w:t>
      </w:r>
    </w:p>
    <w:p w14:paraId="349B1186" w14:textId="77777777" w:rsidR="00A13816" w:rsidRPr="00974F0F" w:rsidRDefault="00A1381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3816" w:rsidRPr="00974F0F" w14:paraId="34BBB2F6" w14:textId="77777777">
        <w:tc>
          <w:tcPr>
            <w:tcW w:w="9818" w:type="dxa"/>
            <w:shd w:val="clear" w:color="auto" w:fill="DBE5F1" w:themeFill="accent1" w:themeFillTint="33"/>
          </w:tcPr>
          <w:p w14:paraId="3BFC0890" w14:textId="77777777" w:rsidR="00A13816" w:rsidRPr="00974F0F" w:rsidRDefault="00020307">
            <w:pPr>
              <w:tabs>
                <w:tab w:val="left" w:pos="598"/>
              </w:tabs>
              <w:jc w:val="center"/>
              <w:rPr>
                <w:b/>
                <w:szCs w:val="24"/>
              </w:rPr>
            </w:pPr>
            <w:r w:rsidRPr="00974F0F">
              <w:rPr>
                <w:b/>
                <w:szCs w:val="24"/>
              </w:rPr>
              <w:t>PIRMASIS SKIRSNIS</w:t>
            </w:r>
          </w:p>
          <w:p w14:paraId="4EE14FB5" w14:textId="77777777" w:rsidR="00A13816" w:rsidRPr="00974F0F" w:rsidRDefault="00020307">
            <w:pPr>
              <w:tabs>
                <w:tab w:val="left" w:pos="598"/>
              </w:tabs>
              <w:jc w:val="center"/>
              <w:rPr>
                <w:color w:val="808080"/>
                <w:szCs w:val="24"/>
              </w:rPr>
            </w:pPr>
            <w:r w:rsidRPr="00974F0F">
              <w:rPr>
                <w:b/>
                <w:szCs w:val="24"/>
              </w:rPr>
              <w:t>PLĖTROS PROGRAMOS PAŽANGOS PRIEMONĖS ALTERNATYVOS</w:t>
            </w:r>
          </w:p>
        </w:tc>
      </w:tr>
      <w:tr w:rsidR="00A13816" w:rsidRPr="00974F0F" w14:paraId="330AB0ED" w14:textId="77777777">
        <w:tc>
          <w:tcPr>
            <w:tcW w:w="9818" w:type="dxa"/>
            <w:shd w:val="clear" w:color="auto" w:fill="auto"/>
          </w:tcPr>
          <w:p w14:paraId="5D210334" w14:textId="0FF585D6" w:rsidR="00EC382E" w:rsidRPr="00507299" w:rsidRDefault="006A14E2" w:rsidP="00375383">
            <w:pPr>
              <w:ind w:firstLine="601"/>
              <w:jc w:val="both"/>
              <w:rPr>
                <w:color w:val="000000"/>
                <w:szCs w:val="24"/>
              </w:rPr>
            </w:pPr>
            <w:r w:rsidRPr="00507299">
              <w:rPr>
                <w:color w:val="000000"/>
                <w:szCs w:val="24"/>
              </w:rPr>
              <w:t xml:space="preserve">Lentelėje pateikiamos </w:t>
            </w:r>
            <w:r w:rsidR="00237D89" w:rsidRPr="00507299">
              <w:rPr>
                <w:color w:val="000000"/>
                <w:szCs w:val="24"/>
              </w:rPr>
              <w:t xml:space="preserve">numatomos įgyvendinti veiklos priemonėje numatytoms priežastims </w:t>
            </w:r>
            <w:r w:rsidR="004C0ECA" w:rsidRPr="00507299">
              <w:rPr>
                <w:color w:val="000000"/>
                <w:szCs w:val="24"/>
              </w:rPr>
              <w:t>šalinti</w:t>
            </w:r>
            <w:r w:rsidR="00237D89" w:rsidRPr="00507299">
              <w:rPr>
                <w:color w:val="000000"/>
                <w:szCs w:val="24"/>
              </w:rPr>
              <w:t>.</w:t>
            </w:r>
            <w:r w:rsidR="00B7548D" w:rsidRPr="00507299">
              <w:rPr>
                <w:color w:val="000000"/>
                <w:szCs w:val="24"/>
              </w:rPr>
              <w:t xml:space="preserve"> </w:t>
            </w:r>
          </w:p>
          <w:p w14:paraId="76A939BD" w14:textId="594A7ECC" w:rsidR="001D1586" w:rsidRPr="00507299" w:rsidRDefault="004605BC" w:rsidP="0024257A">
            <w:pPr>
              <w:ind w:firstLine="601"/>
              <w:jc w:val="both"/>
              <w:rPr>
                <w:color w:val="000000"/>
                <w:szCs w:val="24"/>
              </w:rPr>
            </w:pPr>
            <w:r w:rsidRPr="00507299">
              <w:rPr>
                <w:color w:val="000000"/>
                <w:szCs w:val="24"/>
              </w:rPr>
              <w:t>Pažymėtina, kad d</w:t>
            </w:r>
            <w:r w:rsidRPr="00507299">
              <w:rPr>
                <w:iCs/>
                <w:szCs w:val="24"/>
              </w:rPr>
              <w:t>augelis veiklų yra susij</w:t>
            </w:r>
            <w:r w:rsidR="0021697D" w:rsidRPr="00507299">
              <w:rPr>
                <w:iCs/>
                <w:szCs w:val="24"/>
              </w:rPr>
              <w:t>usios</w:t>
            </w:r>
            <w:r w:rsidRPr="00507299">
              <w:rPr>
                <w:iCs/>
                <w:szCs w:val="24"/>
              </w:rPr>
              <w:t xml:space="preserve"> su Europos Parlamento ir Tarybos 2022 metais priimtos direktyvos (ES) 2022/2555 (toliau – TIS2) įgyvendinimu. ES šalys įpareigotos TIS2 nuostatas į nacionalinę teisę perkelti iki 2024 m. III ketv. pabaigos, todėl reguliacinio tipo veiklos jau pradėtos vykdyti. Kitų veiklų (investicinių ir komunikacinių) įgyvendinimo būdai ir galimos priemonės aptartos su vykdytojais taip, kad jos galėtų tinkamai įgyvendinti naujas, į nacionalinę teisę perkeliamas TIS2 nuostatas. Todėl, a</w:t>
            </w:r>
            <w:r w:rsidR="00B7548D" w:rsidRPr="00507299">
              <w:rPr>
                <w:color w:val="000000"/>
                <w:szCs w:val="24"/>
              </w:rPr>
              <w:t>tsižvelgiant į Strateginio planavimo metodikos 89.4.2 ir 89.4.5 papunkčiuose nurodytas aplinkybes, priemonėje atliekama vienos alternatyvos analizė</w:t>
            </w:r>
            <w:r w:rsidR="0024257A" w:rsidRPr="00507299">
              <w:rPr>
                <w:color w:val="000000"/>
                <w:szCs w:val="24"/>
              </w:rPr>
              <w:t xml:space="preserve">. </w:t>
            </w:r>
          </w:p>
          <w:p w14:paraId="0B0A7829" w14:textId="77777777" w:rsidR="005F59B4" w:rsidRPr="00507299" w:rsidRDefault="001D1586" w:rsidP="0024257A">
            <w:pPr>
              <w:ind w:firstLine="601"/>
              <w:jc w:val="both"/>
              <w:rPr>
                <w:iCs/>
                <w:szCs w:val="24"/>
              </w:rPr>
            </w:pPr>
            <w:r w:rsidRPr="00507299">
              <w:rPr>
                <w:iCs/>
                <w:szCs w:val="24"/>
              </w:rPr>
              <w:t xml:space="preserve">Formuluojant alternatyvas taip pat atsižvelgta į tai, kaip priemonės veiklų įgyvendinimas prisidėtų prie Nacionalinio pažangos plano horizontaliųjų principų įgyvendinimo ir kaip tai galėtų būti realizuota. </w:t>
            </w:r>
          </w:p>
          <w:p w14:paraId="1F413A0E" w14:textId="77777777" w:rsidR="00D70B48" w:rsidRPr="00507299" w:rsidRDefault="001D1586" w:rsidP="00E50CB1">
            <w:pPr>
              <w:ind w:firstLine="601"/>
              <w:jc w:val="both"/>
              <w:rPr>
                <w:iCs/>
                <w:szCs w:val="24"/>
              </w:rPr>
            </w:pPr>
            <w:r w:rsidRPr="00507299">
              <w:rPr>
                <w:iCs/>
                <w:szCs w:val="24"/>
              </w:rPr>
              <w:t xml:space="preserve">Numatoma veikla </w:t>
            </w:r>
            <w:r w:rsidRPr="00507299">
              <w:rPr>
                <w:i/>
                <w:color w:val="000000"/>
                <w:szCs w:val="24"/>
                <w:u w:val="single"/>
              </w:rPr>
              <w:t xml:space="preserve">1. Kibernetinio saugumo stebėsenos sistemos sukūrimas </w:t>
            </w:r>
            <w:r w:rsidRPr="00507299">
              <w:rPr>
                <w:color w:val="000000"/>
                <w:szCs w:val="24"/>
              </w:rPr>
              <w:t xml:space="preserve">prisidėtų </w:t>
            </w:r>
            <w:r w:rsidRPr="00507299">
              <w:rPr>
                <w:iCs/>
                <w:szCs w:val="24"/>
              </w:rPr>
              <w:t>prie</w:t>
            </w:r>
            <w:r w:rsidR="00D70B48" w:rsidRPr="00507299">
              <w:rPr>
                <w:iCs/>
                <w:szCs w:val="24"/>
              </w:rPr>
              <w:t>:</w:t>
            </w:r>
          </w:p>
          <w:p w14:paraId="766B81D7" w14:textId="77777777" w:rsidR="00205688" w:rsidRPr="00507299" w:rsidRDefault="001D1586" w:rsidP="00205688">
            <w:pPr>
              <w:pStyle w:val="ListParagraph"/>
              <w:numPr>
                <w:ilvl w:val="0"/>
                <w:numId w:val="13"/>
              </w:numPr>
              <w:tabs>
                <w:tab w:val="left" w:pos="886"/>
              </w:tabs>
              <w:ind w:left="0" w:firstLine="601"/>
              <w:jc w:val="both"/>
              <w:rPr>
                <w:rFonts w:ascii="TimesNewRomanPSMT" w:hAnsi="TimesNewRomanPSMT" w:cs="TimesNewRomanPSMT"/>
                <w:szCs w:val="24"/>
                <w:lang w:val="en-US"/>
              </w:rPr>
            </w:pPr>
            <w:r w:rsidRPr="00507299">
              <w:rPr>
                <w:szCs w:val="24"/>
              </w:rPr>
              <w:t xml:space="preserve">inovatyvumo (kūrybingumo) horizontalaus principo įgyvendinimo, automatizuojant duomenų iš kibernetinio saugumo subjektų surinkimą, siekiant įvertinti jų atitiktį </w:t>
            </w:r>
            <w:r w:rsidR="00DE52FA" w:rsidRPr="00507299">
              <w:rPr>
                <w:szCs w:val="24"/>
              </w:rPr>
              <w:t>OTR</w:t>
            </w:r>
            <w:r w:rsidR="00205688" w:rsidRPr="00507299">
              <w:rPr>
                <w:szCs w:val="24"/>
              </w:rPr>
              <w:t>;</w:t>
            </w:r>
          </w:p>
          <w:p w14:paraId="1604233E" w14:textId="49622FF9" w:rsidR="00205688" w:rsidRPr="00507299" w:rsidRDefault="00205688" w:rsidP="00471CDD">
            <w:pPr>
              <w:pStyle w:val="ListParagraph"/>
              <w:numPr>
                <w:ilvl w:val="0"/>
                <w:numId w:val="13"/>
              </w:numPr>
              <w:tabs>
                <w:tab w:val="left" w:pos="886"/>
              </w:tabs>
              <w:ind w:left="0" w:firstLine="601"/>
              <w:jc w:val="both"/>
              <w:rPr>
                <w:sz w:val="28"/>
              </w:rPr>
            </w:pPr>
            <w:r w:rsidRPr="00507299">
              <w:rPr>
                <w:color w:val="000000"/>
                <w:szCs w:val="22"/>
              </w:rPr>
              <w:t>horizontaliojo darnaus vystymosi principo rodiklio „1.1. Darnaus vystymosi indeksas“ reikšmių pasiekimo, t. y. prisidės prie Jungtinių Tautų Darnaus vystymosi darbotvarkės iki 2030 m. 12 darnaus vystymosi tikslo "Užtikrinti darnius vartojimo ir gamybos modelius" 12.7 uždavinio "Skatinti darnią viešųjų pirkimų praktiką vadovaujantis nacionaline politika ir prioritetais" 12.7.1b. rodiklio "Žaliųjų pirkimų vertė, palyginti su bendra pirkimų verte" įgyvendinimo. Įgyvendinant šią veiklą bus įsigyjama įranga, atitinkanti veiksmingai energiją vartojančios techninės įrangos kriterijus, pakeičiant šiuo metu naudojamą mažesnio efektyvumo įrangą. </w:t>
            </w:r>
            <w:r w:rsidRPr="00507299">
              <w:rPr>
                <w:color w:val="000000"/>
                <w:szCs w:val="22"/>
                <w:shd w:val="clear" w:color="auto" w:fill="FFFFFF"/>
              </w:rPr>
              <w:t>Siekiama, kad 100 proc. visų šioje veikloje vykdomų pirkimų būtų žalieji.</w:t>
            </w:r>
          </w:p>
          <w:p w14:paraId="05C68E81" w14:textId="716FFC11" w:rsidR="00375383" w:rsidRPr="00507299" w:rsidRDefault="0024257A" w:rsidP="00E0669A">
            <w:pPr>
              <w:ind w:firstLine="601"/>
              <w:jc w:val="both"/>
              <w:rPr>
                <w:color w:val="000000"/>
                <w:szCs w:val="24"/>
              </w:rPr>
            </w:pPr>
            <w:r w:rsidRPr="00507299">
              <w:rPr>
                <w:color w:val="000000"/>
                <w:szCs w:val="24"/>
              </w:rPr>
              <w:t xml:space="preserve">Visos </w:t>
            </w:r>
            <w:r w:rsidR="00DE52FA" w:rsidRPr="00507299">
              <w:rPr>
                <w:color w:val="000000"/>
                <w:szCs w:val="24"/>
              </w:rPr>
              <w:t xml:space="preserve">toliau </w:t>
            </w:r>
            <w:r w:rsidRPr="00507299">
              <w:rPr>
                <w:color w:val="000000"/>
                <w:szCs w:val="24"/>
              </w:rPr>
              <w:t>pateikiamos veiklos įtraukiamos į alternatyvą. Veiklų numeracija pateikiama atsižvelgiant į priemonės skaičiuoklę (toliau – Skaičiuokl</w:t>
            </w:r>
            <w:r w:rsidR="00DE52FA" w:rsidRPr="00507299">
              <w:rPr>
                <w:color w:val="000000"/>
                <w:szCs w:val="24"/>
              </w:rPr>
              <w:t>ė</w:t>
            </w:r>
            <w:r w:rsidRPr="00507299">
              <w:rPr>
                <w:color w:val="000000"/>
                <w:szCs w:val="24"/>
              </w:rPr>
              <w:t>).</w:t>
            </w:r>
          </w:p>
          <w:p w14:paraId="4A2FE56D" w14:textId="77777777" w:rsidR="00974F0F" w:rsidRPr="00507299" w:rsidRDefault="00974F0F" w:rsidP="00E0669A">
            <w:pPr>
              <w:ind w:firstLine="601"/>
              <w:jc w:val="both"/>
              <w:rPr>
                <w:color w:val="000000"/>
                <w:szCs w:val="24"/>
              </w:rPr>
            </w:pPr>
          </w:p>
          <w:tbl>
            <w:tblPr>
              <w:tblStyle w:val="TableGrid"/>
              <w:tblW w:w="9375" w:type="dxa"/>
              <w:jc w:val="center"/>
              <w:tblLook w:val="04A0" w:firstRow="1" w:lastRow="0" w:firstColumn="1" w:lastColumn="0" w:noHBand="0" w:noVBand="1"/>
            </w:tblPr>
            <w:tblGrid>
              <w:gridCol w:w="7957"/>
              <w:gridCol w:w="1418"/>
            </w:tblGrid>
            <w:tr w:rsidR="00A32A3E" w:rsidRPr="00507299" w14:paraId="18055CF8" w14:textId="07E5872B" w:rsidTr="00A32A3E">
              <w:trPr>
                <w:jc w:val="center"/>
              </w:trPr>
              <w:tc>
                <w:tcPr>
                  <w:tcW w:w="7957" w:type="dxa"/>
                  <w:shd w:val="clear" w:color="auto" w:fill="D9D9D9" w:themeFill="background1" w:themeFillShade="D9"/>
                </w:tcPr>
                <w:p w14:paraId="62274816" w14:textId="4EA87CD3" w:rsidR="00A32A3E" w:rsidRPr="00507299" w:rsidRDefault="00A32A3E" w:rsidP="008E25E3">
                  <w:pPr>
                    <w:jc w:val="center"/>
                    <w:rPr>
                      <w:b/>
                      <w:color w:val="000000"/>
                      <w:szCs w:val="24"/>
                    </w:rPr>
                  </w:pPr>
                  <w:r w:rsidRPr="00507299">
                    <w:rPr>
                      <w:b/>
                      <w:color w:val="000000"/>
                      <w:szCs w:val="24"/>
                    </w:rPr>
                    <w:t>Veikla (poveiklė)</w:t>
                  </w:r>
                </w:p>
              </w:tc>
              <w:tc>
                <w:tcPr>
                  <w:tcW w:w="1418" w:type="dxa"/>
                  <w:shd w:val="clear" w:color="auto" w:fill="D9D9D9" w:themeFill="background1" w:themeFillShade="D9"/>
                </w:tcPr>
                <w:p w14:paraId="0B7F3785" w14:textId="08AABFB2" w:rsidR="00A32A3E" w:rsidRPr="00507299" w:rsidRDefault="00A32A3E" w:rsidP="008E25E3">
                  <w:pPr>
                    <w:jc w:val="center"/>
                    <w:rPr>
                      <w:b/>
                      <w:color w:val="000000"/>
                      <w:szCs w:val="24"/>
                    </w:rPr>
                  </w:pPr>
                  <w:r w:rsidRPr="00507299">
                    <w:rPr>
                      <w:b/>
                      <w:color w:val="000000"/>
                      <w:szCs w:val="24"/>
                    </w:rPr>
                    <w:t>Priežasties Nr.</w:t>
                  </w:r>
                </w:p>
              </w:tc>
            </w:tr>
            <w:tr w:rsidR="00A32A3E" w:rsidRPr="00507299" w14:paraId="73FA7A87" w14:textId="77777777" w:rsidTr="00A32A3E">
              <w:trPr>
                <w:jc w:val="center"/>
              </w:trPr>
              <w:tc>
                <w:tcPr>
                  <w:tcW w:w="7957" w:type="dxa"/>
                  <w:shd w:val="clear" w:color="auto" w:fill="auto"/>
                </w:tcPr>
                <w:p w14:paraId="10B5CB1E" w14:textId="77777777" w:rsidR="00A32A3E" w:rsidRPr="00507299" w:rsidRDefault="00A32A3E" w:rsidP="00D85C3F">
                  <w:pPr>
                    <w:jc w:val="both"/>
                    <w:rPr>
                      <w:b/>
                      <w:color w:val="000000"/>
                      <w:szCs w:val="24"/>
                      <w:u w:val="single"/>
                    </w:rPr>
                  </w:pPr>
                  <w:r w:rsidRPr="00507299">
                    <w:rPr>
                      <w:b/>
                      <w:color w:val="000000"/>
                      <w:szCs w:val="24"/>
                      <w:u w:val="single"/>
                    </w:rPr>
                    <w:t>1.1. Kibernetinio saugumo stebėsenos sistemos sukūrimas</w:t>
                  </w:r>
                </w:p>
                <w:p w14:paraId="293E08E7" w14:textId="78CA1221" w:rsidR="00A32A3E" w:rsidRPr="00507299" w:rsidRDefault="00A32A3E" w:rsidP="00D85C3F">
                  <w:pPr>
                    <w:jc w:val="both"/>
                    <w:rPr>
                      <w:rFonts w:asciiTheme="minorHAnsi" w:hAnsiTheme="minorHAnsi" w:cstheme="minorBidi"/>
                      <w:szCs w:val="24"/>
                    </w:rPr>
                  </w:pPr>
                  <w:r w:rsidRPr="00507299">
                    <w:rPr>
                      <w:bCs/>
                      <w:iCs/>
                      <w:szCs w:val="24"/>
                    </w:rPr>
                    <w:t xml:space="preserve">Trumpas veiklos aprašymas: </w:t>
                  </w:r>
                  <w:r w:rsidR="004E6182" w:rsidRPr="00507299">
                    <w:rPr>
                      <w:bCs/>
                      <w:iCs/>
                      <w:szCs w:val="24"/>
                    </w:rPr>
                    <w:t xml:space="preserve">bus </w:t>
                  </w:r>
                  <w:r w:rsidRPr="00507299">
                    <w:rPr>
                      <w:bCs/>
                      <w:iCs/>
                      <w:szCs w:val="24"/>
                    </w:rPr>
                    <w:t xml:space="preserve">sukurta priemonė, kuri leis KSS patogiau deklaruoti atitiktį OTR, </w:t>
                  </w:r>
                  <w:r w:rsidRPr="00507299">
                    <w:rPr>
                      <w:szCs w:val="24"/>
                    </w:rPr>
                    <w:t xml:space="preserve">NKSC darbuotojams </w:t>
                  </w:r>
                  <w:r w:rsidRPr="00507299">
                    <w:rPr>
                      <w:bCs/>
                      <w:iCs/>
                      <w:szCs w:val="24"/>
                    </w:rPr>
                    <w:t>padės automatizuotu būdu surinkti duomenis apie KSS atitiktį OTR, vykdyti kontrolę. Kibernetinio saugumo subjektai taip pat galės patys vertinti savo rizikas, stebėti savo kibernetinio saugumo būklę ir grėsmės lygį.</w:t>
                  </w:r>
                </w:p>
                <w:p w14:paraId="4BE858F0" w14:textId="77777777" w:rsidR="00A32A3E" w:rsidRPr="00507299" w:rsidRDefault="00A32A3E" w:rsidP="00D85C3F">
                  <w:pPr>
                    <w:jc w:val="both"/>
                    <w:rPr>
                      <w:szCs w:val="24"/>
                    </w:rPr>
                  </w:pPr>
                  <w:r w:rsidRPr="00507299">
                    <w:rPr>
                      <w:bCs/>
                      <w:iCs/>
                      <w:szCs w:val="24"/>
                    </w:rPr>
                    <w:lastRenderedPageBreak/>
                    <w:t xml:space="preserve">Tikslinės grupės: KSS, </w:t>
                  </w:r>
                  <w:r w:rsidRPr="00507299">
                    <w:rPr>
                      <w:szCs w:val="24"/>
                    </w:rPr>
                    <w:t xml:space="preserve">NKSC darbuotojai.  </w:t>
                  </w:r>
                </w:p>
                <w:p w14:paraId="2BA8D2EB" w14:textId="77777777" w:rsidR="00A32A3E" w:rsidRPr="00507299" w:rsidRDefault="00A32A3E" w:rsidP="00D85C3F">
                  <w:pPr>
                    <w:tabs>
                      <w:tab w:val="left" w:pos="598"/>
                    </w:tabs>
                    <w:jc w:val="both"/>
                    <w:rPr>
                      <w:szCs w:val="24"/>
                    </w:rPr>
                  </w:pPr>
                  <w:r w:rsidRPr="00507299">
                    <w:rPr>
                      <w:szCs w:val="24"/>
                    </w:rPr>
                    <w:t>Projektų vykdytojas –</w:t>
                  </w:r>
                  <w:r w:rsidRPr="00507299">
                    <w:rPr>
                      <w:b/>
                      <w:szCs w:val="24"/>
                    </w:rPr>
                    <w:t xml:space="preserve"> </w:t>
                  </w:r>
                  <w:r w:rsidRPr="00507299">
                    <w:rPr>
                      <w:szCs w:val="24"/>
                    </w:rPr>
                    <w:t xml:space="preserve">NKSC.  </w:t>
                  </w:r>
                </w:p>
                <w:p w14:paraId="06B05226" w14:textId="65F28AC0" w:rsidR="00A32A3E" w:rsidRPr="00507299" w:rsidRDefault="00A32A3E" w:rsidP="00D85C3F">
                  <w:pPr>
                    <w:jc w:val="both"/>
                    <w:rPr>
                      <w:rFonts w:eastAsia="Calibri"/>
                      <w:i/>
                      <w:szCs w:val="24"/>
                    </w:rPr>
                  </w:pPr>
                  <w:r w:rsidRPr="00507299">
                    <w:rPr>
                      <w:szCs w:val="24"/>
                    </w:rPr>
                    <w:t xml:space="preserve">Siekiami rezultatai: šia veikla siekiama prisidėti prie problemos priežasčių  </w:t>
                  </w:r>
                  <w:r w:rsidRPr="00507299">
                    <w:rPr>
                      <w:i/>
                      <w:szCs w:val="24"/>
                    </w:rPr>
                    <w:t>1.3. S</w:t>
                  </w:r>
                  <w:r w:rsidRPr="00507299">
                    <w:rPr>
                      <w:rFonts w:eastAsia="Calibri"/>
                      <w:i/>
                      <w:szCs w:val="24"/>
                    </w:rPr>
                    <w:t xml:space="preserve">kirtingai taikomos kibernetinio atsparumo priemonės viešajame sektoriuje </w:t>
                  </w:r>
                  <w:r w:rsidRPr="00507299">
                    <w:rPr>
                      <w:szCs w:val="24"/>
                    </w:rPr>
                    <w:t xml:space="preserve">ir </w:t>
                  </w:r>
                  <w:r w:rsidRPr="00507299">
                    <w:rPr>
                      <w:i/>
                      <w:szCs w:val="24"/>
                    </w:rPr>
                    <w:t>1.4</w:t>
                  </w:r>
                  <w:r w:rsidRPr="00507299">
                    <w:rPr>
                      <w:szCs w:val="24"/>
                    </w:rPr>
                    <w:t>. </w:t>
                  </w:r>
                  <w:r w:rsidRPr="00507299">
                    <w:rPr>
                      <w:i/>
                      <w:szCs w:val="24"/>
                    </w:rPr>
                    <w:t>K</w:t>
                  </w:r>
                  <w:r w:rsidRPr="00507299">
                    <w:rPr>
                      <w:rFonts w:eastAsia="Calibri"/>
                      <w:i/>
                      <w:szCs w:val="24"/>
                    </w:rPr>
                    <w:t xml:space="preserve">ibernetinio saugumo, atsparumo ir grėsmės lygiui vertinti trūksta kibernetinio saugumo stebėsenos duomenų </w:t>
                  </w:r>
                  <w:r w:rsidRPr="00507299">
                    <w:rPr>
                      <w:rFonts w:eastAsia="Calibri"/>
                      <w:szCs w:val="24"/>
                    </w:rPr>
                    <w:t>šalinimo</w:t>
                  </w:r>
                  <w:r w:rsidRPr="00507299">
                    <w:rPr>
                      <w:rFonts w:eastAsia="Calibri"/>
                      <w:i/>
                      <w:szCs w:val="24"/>
                    </w:rPr>
                    <w:t>.</w:t>
                  </w:r>
                </w:p>
                <w:p w14:paraId="354C27F0" w14:textId="34BD4DB3" w:rsidR="00A32A3E" w:rsidRPr="00B1374C" w:rsidRDefault="00A32A3E" w:rsidP="00D85C3F">
                  <w:pPr>
                    <w:ind w:left="-57" w:right="-57"/>
                    <w:rPr>
                      <w:b/>
                      <w:color w:val="000000"/>
                      <w:szCs w:val="24"/>
                    </w:rPr>
                  </w:pPr>
                  <w:r w:rsidRPr="00507299">
                    <w:rPr>
                      <w:szCs w:val="24"/>
                    </w:rPr>
                    <w:t>Finansavimo apimtis –</w:t>
                  </w:r>
                  <w:r w:rsidRPr="00507299">
                    <w:rPr>
                      <w:b/>
                      <w:szCs w:val="24"/>
                    </w:rPr>
                    <w:t xml:space="preserve"> </w:t>
                  </w:r>
                  <w:r w:rsidRPr="00B1374C">
                    <w:rPr>
                      <w:strike/>
                      <w:color w:val="000000"/>
                      <w:szCs w:val="24"/>
                    </w:rPr>
                    <w:t>20 093,744 tūkst. Eur</w:t>
                  </w:r>
                  <w:r w:rsidRPr="00507299">
                    <w:rPr>
                      <w:color w:val="000000"/>
                      <w:szCs w:val="24"/>
                    </w:rPr>
                    <w:t xml:space="preserve">. </w:t>
                  </w:r>
                  <w:r w:rsidR="00B1374C" w:rsidRPr="00B1374C">
                    <w:rPr>
                      <w:b/>
                      <w:color w:val="000000"/>
                      <w:szCs w:val="24"/>
                    </w:rPr>
                    <w:t>10 411,324 tūkst. Eur.</w:t>
                  </w:r>
                </w:p>
                <w:p w14:paraId="1105CEA9" w14:textId="45A4FB81" w:rsidR="00A32A3E" w:rsidRPr="00507299" w:rsidRDefault="00A32A3E" w:rsidP="00D85C3F">
                  <w:pPr>
                    <w:rPr>
                      <w:b/>
                      <w:color w:val="000000"/>
                      <w:szCs w:val="24"/>
                    </w:rPr>
                  </w:pPr>
                  <w:r w:rsidRPr="00507299">
                    <w:rPr>
                      <w:szCs w:val="24"/>
                    </w:rPr>
                    <w:t>Finansavimo forma –</w:t>
                  </w:r>
                  <w:r w:rsidRPr="00507299">
                    <w:rPr>
                      <w:b/>
                      <w:szCs w:val="24"/>
                    </w:rPr>
                    <w:t xml:space="preserve"> </w:t>
                  </w:r>
                  <w:r w:rsidRPr="00507299">
                    <w:rPr>
                      <w:szCs w:val="24"/>
                    </w:rPr>
                    <w:t>dotacija</w:t>
                  </w:r>
                  <w:r w:rsidRPr="00507299">
                    <w:rPr>
                      <w:iCs/>
                      <w:szCs w:val="24"/>
                    </w:rPr>
                    <w:t>.</w:t>
                  </w:r>
                  <w:r w:rsidRPr="00507299">
                    <w:rPr>
                      <w:iCs/>
                      <w:szCs w:val="24"/>
                    </w:rPr>
                    <w:tab/>
                  </w:r>
                </w:p>
              </w:tc>
              <w:tc>
                <w:tcPr>
                  <w:tcW w:w="1418" w:type="dxa"/>
                  <w:shd w:val="clear" w:color="auto" w:fill="auto"/>
                </w:tcPr>
                <w:p w14:paraId="4A4C2FC6" w14:textId="77777777" w:rsidR="00A32A3E" w:rsidRPr="00507299" w:rsidRDefault="00A32A3E" w:rsidP="00D85C3F">
                  <w:pPr>
                    <w:jc w:val="center"/>
                    <w:rPr>
                      <w:color w:val="000000"/>
                      <w:szCs w:val="24"/>
                    </w:rPr>
                  </w:pPr>
                </w:p>
                <w:p w14:paraId="3B38D985" w14:textId="46C48F4B" w:rsidR="00A32A3E" w:rsidRPr="00507299" w:rsidRDefault="00A32A3E" w:rsidP="007244BF">
                  <w:pPr>
                    <w:rPr>
                      <w:color w:val="000000"/>
                      <w:szCs w:val="24"/>
                    </w:rPr>
                  </w:pPr>
                  <w:r w:rsidRPr="00507299">
                    <w:rPr>
                      <w:color w:val="000000"/>
                      <w:szCs w:val="24"/>
                    </w:rPr>
                    <w:t>1.3</w:t>
                  </w:r>
                  <w:r w:rsidR="001167EF" w:rsidRPr="00507299">
                    <w:rPr>
                      <w:color w:val="000000"/>
                      <w:szCs w:val="24"/>
                    </w:rPr>
                    <w:t>.1</w:t>
                  </w:r>
                  <w:r w:rsidR="007244BF" w:rsidRPr="00507299">
                    <w:rPr>
                      <w:color w:val="000000"/>
                      <w:szCs w:val="24"/>
                    </w:rPr>
                    <w:t>.</w:t>
                  </w:r>
                </w:p>
                <w:p w14:paraId="2E2F81E2" w14:textId="77777777" w:rsidR="00A32A3E" w:rsidRPr="00507299" w:rsidRDefault="00A32A3E" w:rsidP="00D85C3F">
                  <w:pPr>
                    <w:jc w:val="center"/>
                    <w:rPr>
                      <w:color w:val="000000"/>
                      <w:szCs w:val="24"/>
                    </w:rPr>
                  </w:pPr>
                </w:p>
                <w:p w14:paraId="65514B1E" w14:textId="455AB209" w:rsidR="00A32A3E" w:rsidRPr="00507299" w:rsidRDefault="00A32A3E" w:rsidP="007244BF">
                  <w:pPr>
                    <w:rPr>
                      <w:color w:val="000000"/>
                      <w:szCs w:val="24"/>
                    </w:rPr>
                  </w:pPr>
                  <w:r w:rsidRPr="00507299">
                    <w:rPr>
                      <w:color w:val="000000"/>
                      <w:szCs w:val="24"/>
                    </w:rPr>
                    <w:t>1.4.1</w:t>
                  </w:r>
                  <w:r w:rsidR="007244BF" w:rsidRPr="00507299">
                    <w:rPr>
                      <w:color w:val="000000"/>
                      <w:szCs w:val="24"/>
                    </w:rPr>
                    <w:t>.</w:t>
                  </w:r>
                </w:p>
                <w:p w14:paraId="7ABBB422" w14:textId="3D100880" w:rsidR="00A32A3E" w:rsidRPr="00507299" w:rsidRDefault="00A32A3E" w:rsidP="00D85C3F">
                  <w:pPr>
                    <w:jc w:val="center"/>
                    <w:rPr>
                      <w:color w:val="000000"/>
                      <w:szCs w:val="24"/>
                    </w:rPr>
                  </w:pPr>
                </w:p>
                <w:p w14:paraId="26D5D288" w14:textId="624EC882" w:rsidR="00A32A3E" w:rsidRPr="00507299" w:rsidRDefault="001D36AA" w:rsidP="007244BF">
                  <w:pPr>
                    <w:rPr>
                      <w:color w:val="000000"/>
                      <w:szCs w:val="24"/>
                    </w:rPr>
                  </w:pPr>
                  <w:r w:rsidRPr="00507299">
                    <w:rPr>
                      <w:color w:val="000000"/>
                      <w:szCs w:val="24"/>
                    </w:rPr>
                    <w:t>1.4.2</w:t>
                  </w:r>
                  <w:r w:rsidR="007244BF" w:rsidRPr="00507299">
                    <w:rPr>
                      <w:color w:val="000000"/>
                      <w:szCs w:val="24"/>
                    </w:rPr>
                    <w:t>.</w:t>
                  </w:r>
                </w:p>
              </w:tc>
            </w:tr>
            <w:tr w:rsidR="00A32A3E" w:rsidRPr="00507299" w14:paraId="4832C9DD" w14:textId="77777777" w:rsidTr="00A32A3E">
              <w:trPr>
                <w:jc w:val="center"/>
              </w:trPr>
              <w:tc>
                <w:tcPr>
                  <w:tcW w:w="7957" w:type="dxa"/>
                  <w:shd w:val="clear" w:color="auto" w:fill="auto"/>
                </w:tcPr>
                <w:p w14:paraId="5475CB67" w14:textId="5D95E964" w:rsidR="00A32A3E" w:rsidRPr="00507299" w:rsidRDefault="00A32A3E" w:rsidP="00D85C3F">
                  <w:pPr>
                    <w:tabs>
                      <w:tab w:val="left" w:pos="177"/>
                    </w:tabs>
                    <w:jc w:val="both"/>
                    <w:rPr>
                      <w:b/>
                      <w:color w:val="000000"/>
                      <w:szCs w:val="24"/>
                      <w:u w:val="single"/>
                    </w:rPr>
                  </w:pPr>
                  <w:r w:rsidRPr="00507299">
                    <w:rPr>
                      <w:b/>
                      <w:color w:val="000000"/>
                      <w:szCs w:val="24"/>
                      <w:u w:val="single"/>
                    </w:rPr>
                    <w:t>2.</w:t>
                  </w:r>
                  <w:r w:rsidR="00643273" w:rsidRPr="00507299">
                    <w:rPr>
                      <w:b/>
                      <w:color w:val="000000"/>
                      <w:szCs w:val="24"/>
                      <w:u w:val="single"/>
                    </w:rPr>
                    <w:t>1.</w:t>
                  </w:r>
                  <w:r w:rsidRPr="00507299">
                    <w:rPr>
                      <w:b/>
                      <w:color w:val="000000"/>
                      <w:szCs w:val="24"/>
                      <w:u w:val="single"/>
                    </w:rPr>
                    <w:t xml:space="preserve"> Nacionalinės SOC/CSIRT modulinės sistemos, suteikiančios galimybę SOC/CSIRT paslaugomis naudotis TIS2 direktyvoje nurodytų sektorių kibernetinio saugumo subjektams</w:t>
                  </w:r>
                  <w:r w:rsidR="000F7B21" w:rsidRPr="00507299">
                    <w:rPr>
                      <w:b/>
                      <w:color w:val="000000"/>
                      <w:szCs w:val="24"/>
                      <w:u w:val="single"/>
                    </w:rPr>
                    <w:t>, sukūrimas</w:t>
                  </w:r>
                </w:p>
                <w:p w14:paraId="460900FD" w14:textId="3D60EC44" w:rsidR="00A32A3E" w:rsidRPr="00507299" w:rsidRDefault="00A32A3E" w:rsidP="00D85C3F">
                  <w:pPr>
                    <w:tabs>
                      <w:tab w:val="left" w:pos="598"/>
                    </w:tabs>
                    <w:jc w:val="both"/>
                    <w:rPr>
                      <w:color w:val="000000"/>
                      <w:szCs w:val="24"/>
                      <w:shd w:val="clear" w:color="auto" w:fill="FFFFFF"/>
                    </w:rPr>
                  </w:pPr>
                  <w:r w:rsidRPr="00507299">
                    <w:rPr>
                      <w:bCs/>
                      <w:iCs/>
                      <w:szCs w:val="24"/>
                    </w:rPr>
                    <w:t xml:space="preserve">Trumpas veiklos aprašymas: </w:t>
                  </w:r>
                  <w:r w:rsidRPr="00507299">
                    <w:rPr>
                      <w:color w:val="000000"/>
                      <w:szCs w:val="24"/>
                      <w:shd w:val="clear" w:color="auto" w:fill="FFFFFF"/>
                    </w:rPr>
                    <w:t xml:space="preserve">reagavimas į įvairius incidentus bei informacijos apsaugos mechanizmai dažnai skiriasi priklausomai nuo sektoriaus. </w:t>
                  </w:r>
                  <w:r w:rsidRPr="00507299">
                    <w:rPr>
                      <w:bCs/>
                      <w:iCs/>
                      <w:szCs w:val="24"/>
                    </w:rPr>
                    <w:t xml:space="preserve">Bus sukurta platforma, kuri leis susijungti </w:t>
                  </w:r>
                  <w:r w:rsidRPr="00507299">
                    <w:rPr>
                      <w:color w:val="000000"/>
                      <w:szCs w:val="24"/>
                      <w:shd w:val="clear" w:color="auto" w:fill="FFFFFF"/>
                    </w:rPr>
                    <w:t xml:space="preserve">panašaus pobūdžio KSS, kuriems būdingi panašūs procesai, procedūros bei reglamentavimas, į sektorius ir gauti tinkamas saugumo operacijų centro (SOC) bei kibernetinių incidentų reagavimo komandos (CSIRT) paslaugas. Veikla leis naudotis šiomis paslaugomis </w:t>
                  </w:r>
                  <w:r w:rsidRPr="00507299">
                    <w:rPr>
                      <w:bCs/>
                      <w:iCs/>
                      <w:szCs w:val="24"/>
                    </w:rPr>
                    <w:t>ne mažiau kaip trims TIS2 direktyvoje nurodytiems sektoriams su galimybe ateityje jungtis visiems aštuoniolikai TIS2 direktyvoje nurodytų sektorių</w:t>
                  </w:r>
                  <w:r w:rsidR="004E6182" w:rsidRPr="00507299">
                    <w:rPr>
                      <w:bCs/>
                      <w:iCs/>
                      <w:szCs w:val="24"/>
                    </w:rPr>
                    <w:t>. Taip pat bus įgyvendintas sprendimas, padėsiantis KSS greitai ir efektyviai keistis informacija apie galimus ir įvykusius incidentus bei kita su</w:t>
                  </w:r>
                  <w:r w:rsidR="004E6182" w:rsidRPr="00507299">
                    <w:rPr>
                      <w:szCs w:val="24"/>
                    </w:rPr>
                    <w:t xml:space="preserve"> kibernetinio saugumo užtikrinimu susijusia informacija</w:t>
                  </w:r>
                  <w:r w:rsidR="004E6182" w:rsidRPr="00507299">
                    <w:rPr>
                      <w:bCs/>
                      <w:iCs/>
                      <w:szCs w:val="24"/>
                    </w:rPr>
                    <w:t xml:space="preserve"> tarpusavyje ir su NKSC.</w:t>
                  </w:r>
                </w:p>
                <w:p w14:paraId="6277CA31" w14:textId="77777777" w:rsidR="00A32A3E" w:rsidRPr="00507299" w:rsidRDefault="00A32A3E" w:rsidP="00D85C3F">
                  <w:pPr>
                    <w:tabs>
                      <w:tab w:val="left" w:pos="598"/>
                    </w:tabs>
                    <w:jc w:val="both"/>
                    <w:rPr>
                      <w:bCs/>
                      <w:iCs/>
                      <w:szCs w:val="24"/>
                    </w:rPr>
                  </w:pPr>
                  <w:r w:rsidRPr="00507299">
                    <w:rPr>
                      <w:bCs/>
                      <w:iCs/>
                      <w:szCs w:val="24"/>
                    </w:rPr>
                    <w:t xml:space="preserve">Tikslinė grupė – TIS2 direktyvoje nurodytuose sektoriuose dirbantys KSS. </w:t>
                  </w:r>
                </w:p>
                <w:p w14:paraId="2894A34D" w14:textId="77777777" w:rsidR="00A32A3E" w:rsidRPr="00507299" w:rsidRDefault="00A32A3E" w:rsidP="00D85C3F">
                  <w:pPr>
                    <w:tabs>
                      <w:tab w:val="left" w:pos="598"/>
                    </w:tabs>
                    <w:jc w:val="both"/>
                    <w:rPr>
                      <w:szCs w:val="24"/>
                    </w:rPr>
                  </w:pPr>
                  <w:r w:rsidRPr="00507299">
                    <w:rPr>
                      <w:szCs w:val="24"/>
                    </w:rPr>
                    <w:t>Projektų vykdytojas –</w:t>
                  </w:r>
                  <w:r w:rsidRPr="00507299">
                    <w:rPr>
                      <w:b/>
                      <w:szCs w:val="24"/>
                    </w:rPr>
                    <w:t xml:space="preserve"> </w:t>
                  </w:r>
                  <w:r w:rsidRPr="00507299">
                    <w:rPr>
                      <w:szCs w:val="24"/>
                    </w:rPr>
                    <w:t xml:space="preserve">NKSC. </w:t>
                  </w:r>
                </w:p>
                <w:p w14:paraId="69499138" w14:textId="77777777" w:rsidR="00A32A3E" w:rsidRPr="00507299" w:rsidRDefault="00A32A3E" w:rsidP="00D85C3F">
                  <w:pPr>
                    <w:jc w:val="both"/>
                    <w:rPr>
                      <w:rFonts w:eastAsia="Calibri"/>
                      <w:i/>
                      <w:szCs w:val="24"/>
                    </w:rPr>
                  </w:pPr>
                  <w:r w:rsidRPr="00507299">
                    <w:rPr>
                      <w:szCs w:val="24"/>
                    </w:rPr>
                    <w:t>Siekiami rezultatai:</w:t>
                  </w:r>
                  <w:r w:rsidRPr="00507299">
                    <w:rPr>
                      <w:rFonts w:eastAsia="Calibri"/>
                      <w:szCs w:val="24"/>
                    </w:rPr>
                    <w:t xml:space="preserve"> </w:t>
                  </w:r>
                  <w:r w:rsidRPr="00507299">
                    <w:rPr>
                      <w:szCs w:val="24"/>
                    </w:rPr>
                    <w:t xml:space="preserve">šia veikla siekiama prisidėti prie problemos priežasties </w:t>
                  </w:r>
                  <w:r w:rsidRPr="00507299">
                    <w:rPr>
                      <w:i/>
                      <w:szCs w:val="24"/>
                    </w:rPr>
                    <w:t>1.3. S</w:t>
                  </w:r>
                  <w:r w:rsidRPr="00507299">
                    <w:rPr>
                      <w:rFonts w:eastAsia="Calibri"/>
                      <w:i/>
                      <w:szCs w:val="24"/>
                    </w:rPr>
                    <w:t xml:space="preserve">kirtingai taikomos kibernetinio atsparumo priemonės viešajame sektoriuje </w:t>
                  </w:r>
                  <w:r w:rsidRPr="00507299">
                    <w:rPr>
                      <w:rFonts w:eastAsia="Calibri"/>
                      <w:szCs w:val="24"/>
                    </w:rPr>
                    <w:t>šalinimo</w:t>
                  </w:r>
                  <w:r w:rsidRPr="00507299">
                    <w:rPr>
                      <w:rFonts w:eastAsia="Calibri"/>
                      <w:i/>
                      <w:szCs w:val="24"/>
                    </w:rPr>
                    <w:t>.</w:t>
                  </w:r>
                </w:p>
                <w:p w14:paraId="4654FFCA" w14:textId="6FBCC996" w:rsidR="00A32A3E" w:rsidRPr="00507299" w:rsidRDefault="00A32A3E" w:rsidP="00D85C3F">
                  <w:pPr>
                    <w:ind w:right="-57"/>
                    <w:rPr>
                      <w:color w:val="000000"/>
                      <w:szCs w:val="24"/>
                    </w:rPr>
                  </w:pPr>
                  <w:r w:rsidRPr="00507299">
                    <w:rPr>
                      <w:szCs w:val="24"/>
                    </w:rPr>
                    <w:t>Finansavimo apimtis –</w:t>
                  </w:r>
                  <w:r w:rsidRPr="00507299">
                    <w:rPr>
                      <w:b/>
                      <w:szCs w:val="24"/>
                    </w:rPr>
                    <w:t xml:space="preserve"> </w:t>
                  </w:r>
                  <w:r w:rsidRPr="00265B06">
                    <w:rPr>
                      <w:strike/>
                      <w:color w:val="000000"/>
                      <w:szCs w:val="24"/>
                    </w:rPr>
                    <w:t>9 606,674 tūkst. Eur</w:t>
                  </w:r>
                  <w:r w:rsidRPr="00507299">
                    <w:rPr>
                      <w:color w:val="000000"/>
                      <w:szCs w:val="24"/>
                    </w:rPr>
                    <w:t xml:space="preserve">. </w:t>
                  </w:r>
                  <w:r w:rsidR="00265B06" w:rsidRPr="00265B06">
                    <w:rPr>
                      <w:b/>
                      <w:color w:val="000000"/>
                      <w:szCs w:val="24"/>
                    </w:rPr>
                    <w:t>19 289,094 tūkst. Eur</w:t>
                  </w:r>
                  <w:r w:rsidR="00265B06">
                    <w:rPr>
                      <w:color w:val="000000"/>
                      <w:szCs w:val="24"/>
                    </w:rPr>
                    <w:t>.</w:t>
                  </w:r>
                </w:p>
                <w:p w14:paraId="5D20F58E" w14:textId="45E5B82E" w:rsidR="00A32A3E" w:rsidRPr="00507299" w:rsidRDefault="00A32A3E" w:rsidP="00A32A3E">
                  <w:pPr>
                    <w:rPr>
                      <w:b/>
                      <w:color w:val="000000"/>
                      <w:szCs w:val="24"/>
                    </w:rPr>
                  </w:pPr>
                  <w:r w:rsidRPr="00507299">
                    <w:rPr>
                      <w:szCs w:val="24"/>
                    </w:rPr>
                    <w:t>Finansavimo forma –</w:t>
                  </w:r>
                  <w:r w:rsidRPr="00507299">
                    <w:rPr>
                      <w:b/>
                      <w:szCs w:val="24"/>
                    </w:rPr>
                    <w:t xml:space="preserve"> </w:t>
                  </w:r>
                  <w:r w:rsidRPr="00507299">
                    <w:rPr>
                      <w:szCs w:val="24"/>
                    </w:rPr>
                    <w:t>dotacija.</w:t>
                  </w:r>
                </w:p>
              </w:tc>
              <w:tc>
                <w:tcPr>
                  <w:tcW w:w="1418" w:type="dxa"/>
                  <w:shd w:val="clear" w:color="auto" w:fill="auto"/>
                </w:tcPr>
                <w:p w14:paraId="6760DBDB" w14:textId="77777777" w:rsidR="007244BF" w:rsidRPr="00507299" w:rsidRDefault="007244BF" w:rsidP="007244BF">
                  <w:pPr>
                    <w:rPr>
                      <w:b/>
                      <w:color w:val="000000"/>
                      <w:szCs w:val="24"/>
                    </w:rPr>
                  </w:pPr>
                </w:p>
                <w:p w14:paraId="54792FFC" w14:textId="5141E420" w:rsidR="00A32A3E" w:rsidRPr="00507299" w:rsidRDefault="00A32A3E" w:rsidP="007244BF">
                  <w:pPr>
                    <w:rPr>
                      <w:color w:val="000000"/>
                      <w:szCs w:val="24"/>
                    </w:rPr>
                  </w:pPr>
                  <w:r w:rsidRPr="00507299">
                    <w:rPr>
                      <w:color w:val="000000"/>
                      <w:szCs w:val="24"/>
                    </w:rPr>
                    <w:t>1.3</w:t>
                  </w:r>
                  <w:r w:rsidR="001167EF" w:rsidRPr="00507299">
                    <w:rPr>
                      <w:color w:val="000000"/>
                      <w:szCs w:val="24"/>
                    </w:rPr>
                    <w:t>.3</w:t>
                  </w:r>
                  <w:r w:rsidR="007244BF" w:rsidRPr="00507299">
                    <w:rPr>
                      <w:color w:val="000000"/>
                      <w:szCs w:val="24"/>
                    </w:rPr>
                    <w:t>.</w:t>
                  </w:r>
                </w:p>
              </w:tc>
            </w:tr>
            <w:tr w:rsidR="00A32A3E" w:rsidRPr="00507299" w14:paraId="4D3C8B80" w14:textId="77777777" w:rsidTr="00A32A3E">
              <w:trPr>
                <w:jc w:val="center"/>
              </w:trPr>
              <w:tc>
                <w:tcPr>
                  <w:tcW w:w="7957" w:type="dxa"/>
                  <w:shd w:val="clear" w:color="auto" w:fill="auto"/>
                </w:tcPr>
                <w:p w14:paraId="4DD90DA1" w14:textId="01B555DE" w:rsidR="00A32A3E" w:rsidRPr="00507299" w:rsidRDefault="00A32A3E" w:rsidP="00D85C3F">
                  <w:pPr>
                    <w:jc w:val="both"/>
                    <w:rPr>
                      <w:b/>
                      <w:color w:val="000000"/>
                      <w:szCs w:val="24"/>
                      <w:u w:val="single"/>
                    </w:rPr>
                  </w:pPr>
                  <w:r w:rsidRPr="00507299">
                    <w:rPr>
                      <w:b/>
                      <w:color w:val="000000"/>
                      <w:szCs w:val="24"/>
                      <w:u w:val="single"/>
                    </w:rPr>
                    <w:t xml:space="preserve">3.1. </w:t>
                  </w:r>
                  <w:r w:rsidR="000625D7" w:rsidRPr="00507299">
                    <w:rPr>
                      <w:b/>
                      <w:color w:val="000000"/>
                      <w:szCs w:val="24"/>
                      <w:u w:val="single"/>
                    </w:rPr>
                    <w:t>Nusikalstamų veikų elektroninėje erdvėje tyrimui ir mokymams skirtos laboratorijos sukūrimas ir instruktorių darbui šioje laboratorijoje parengimas</w:t>
                  </w:r>
                </w:p>
                <w:p w14:paraId="47B84713" w14:textId="6FD0E7B4" w:rsidR="00A32A3E" w:rsidRPr="00507299" w:rsidRDefault="00A32A3E" w:rsidP="00D85C3F">
                  <w:pPr>
                    <w:jc w:val="both"/>
                    <w:rPr>
                      <w:szCs w:val="24"/>
                    </w:rPr>
                  </w:pPr>
                  <w:r w:rsidRPr="00507299">
                    <w:rPr>
                      <w:bCs/>
                      <w:iCs/>
                      <w:szCs w:val="24"/>
                    </w:rPr>
                    <w:t xml:space="preserve">Trumpas veiklos aprašymas: bus įrengta 35 kompiuterizuotų darbo vietų laboratorija su specialia programine įranga. Laboratorija bus pritaikyta elektroniniams nusikaltimams identifikuoti ir jiems tirti, taip pat bus paruošti  instruktoriai darbui nusikalstamų veikų elektroninėje erdvėje tyrimui skirtoje laboratorijoje, jie vėliau rengs kitus specialistus.  </w:t>
                  </w:r>
                </w:p>
                <w:p w14:paraId="038B7461" w14:textId="77777777" w:rsidR="00A32A3E" w:rsidRPr="00507299" w:rsidRDefault="00A32A3E" w:rsidP="00D85C3F">
                  <w:pPr>
                    <w:tabs>
                      <w:tab w:val="left" w:pos="598"/>
                    </w:tabs>
                    <w:jc w:val="both"/>
                    <w:rPr>
                      <w:b/>
                      <w:bCs/>
                      <w:iCs/>
                      <w:szCs w:val="24"/>
                    </w:rPr>
                  </w:pPr>
                  <w:r w:rsidRPr="00507299">
                    <w:rPr>
                      <w:bCs/>
                      <w:iCs/>
                      <w:szCs w:val="24"/>
                    </w:rPr>
                    <w:t>Tikslinė grupė – nusikalstamas veikas elektroninėje erdvėje tiriantys darbuotojai</w:t>
                  </w:r>
                  <w:r w:rsidRPr="00507299">
                    <w:rPr>
                      <w:b/>
                      <w:bCs/>
                      <w:iCs/>
                      <w:szCs w:val="24"/>
                    </w:rPr>
                    <w:t xml:space="preserve">. </w:t>
                  </w:r>
                </w:p>
                <w:p w14:paraId="17FC6F54" w14:textId="77777777" w:rsidR="00A32A3E" w:rsidRPr="00507299" w:rsidRDefault="00A32A3E" w:rsidP="00D85C3F">
                  <w:pPr>
                    <w:tabs>
                      <w:tab w:val="left" w:pos="598"/>
                    </w:tabs>
                    <w:jc w:val="both"/>
                    <w:rPr>
                      <w:szCs w:val="24"/>
                    </w:rPr>
                  </w:pPr>
                  <w:r w:rsidRPr="00507299">
                    <w:rPr>
                      <w:szCs w:val="24"/>
                    </w:rPr>
                    <w:t>Projektų vykdytojas –</w:t>
                  </w:r>
                  <w:r w:rsidRPr="00507299">
                    <w:rPr>
                      <w:b/>
                      <w:szCs w:val="24"/>
                    </w:rPr>
                    <w:t xml:space="preserve"> </w:t>
                  </w:r>
                  <w:r w:rsidRPr="00507299">
                    <w:rPr>
                      <w:szCs w:val="24"/>
                    </w:rPr>
                    <w:t xml:space="preserve">NKSC.  </w:t>
                  </w:r>
                </w:p>
                <w:p w14:paraId="4A47A4EF" w14:textId="6681BBF5" w:rsidR="00A32A3E" w:rsidRPr="00507299" w:rsidRDefault="00A32A3E" w:rsidP="00D85C3F">
                  <w:pPr>
                    <w:tabs>
                      <w:tab w:val="left" w:pos="1048"/>
                    </w:tabs>
                    <w:jc w:val="both"/>
                    <w:rPr>
                      <w:rFonts w:eastAsia="Calibri"/>
                      <w:i/>
                      <w:szCs w:val="24"/>
                    </w:rPr>
                  </w:pPr>
                  <w:r w:rsidRPr="00507299">
                    <w:rPr>
                      <w:szCs w:val="24"/>
                    </w:rPr>
                    <w:t xml:space="preserve">Siekiami rezultatai: šia veikla siekiama prisidėti prie problemos priežasčių </w:t>
                  </w:r>
                  <w:r w:rsidRPr="00507299">
                    <w:rPr>
                      <w:i/>
                      <w:szCs w:val="24"/>
                    </w:rPr>
                    <w:t>2.1. N</w:t>
                  </w:r>
                  <w:r w:rsidRPr="00507299">
                    <w:rPr>
                      <w:rFonts w:eastAsia="Calibri"/>
                      <w:i/>
                      <w:szCs w:val="24"/>
                    </w:rPr>
                    <w:t xml:space="preserve">evystoma elektroninių nusikaltimų tyrimo infrastruktūra </w:t>
                  </w:r>
                  <w:r w:rsidRPr="00507299">
                    <w:rPr>
                      <w:rFonts w:eastAsia="Calibri"/>
                      <w:szCs w:val="24"/>
                    </w:rPr>
                    <w:t xml:space="preserve">ir </w:t>
                  </w:r>
                  <w:r w:rsidRPr="00507299">
                    <w:rPr>
                      <w:rFonts w:eastAsia="Calibri"/>
                      <w:i/>
                      <w:szCs w:val="24"/>
                    </w:rPr>
                    <w:t xml:space="preserve">2.2. Mažai dėmesio skiriama elektroninių nusikaltimų tyrėjų kompetencijoms didinti </w:t>
                  </w:r>
                  <w:r w:rsidRPr="00507299">
                    <w:rPr>
                      <w:rFonts w:eastAsia="Calibri"/>
                      <w:szCs w:val="24"/>
                    </w:rPr>
                    <w:t>šalinimo</w:t>
                  </w:r>
                  <w:r w:rsidRPr="00507299">
                    <w:rPr>
                      <w:rFonts w:eastAsia="Calibri"/>
                      <w:i/>
                      <w:szCs w:val="24"/>
                    </w:rPr>
                    <w:t>.</w:t>
                  </w:r>
                </w:p>
                <w:p w14:paraId="398F403D" w14:textId="72A0BD8F" w:rsidR="00A32A3E" w:rsidRPr="00507299" w:rsidRDefault="00A32A3E" w:rsidP="00D85C3F">
                  <w:pPr>
                    <w:ind w:right="-57"/>
                    <w:rPr>
                      <w:szCs w:val="24"/>
                    </w:rPr>
                  </w:pPr>
                  <w:r w:rsidRPr="00507299">
                    <w:rPr>
                      <w:szCs w:val="24"/>
                    </w:rPr>
                    <w:t>Finansavimo apimtis</w:t>
                  </w:r>
                  <w:r w:rsidRPr="00507299">
                    <w:rPr>
                      <w:b/>
                      <w:szCs w:val="24"/>
                    </w:rPr>
                    <w:t xml:space="preserve"> – </w:t>
                  </w:r>
                  <w:r w:rsidRPr="00507299">
                    <w:rPr>
                      <w:color w:val="000000"/>
                      <w:szCs w:val="24"/>
                    </w:rPr>
                    <w:t>1</w:t>
                  </w:r>
                  <w:r w:rsidR="00C94723" w:rsidRPr="00507299">
                    <w:rPr>
                      <w:color w:val="000000"/>
                      <w:szCs w:val="24"/>
                    </w:rPr>
                    <w:t>268,806</w:t>
                  </w:r>
                  <w:r w:rsidRPr="00507299">
                    <w:rPr>
                      <w:color w:val="000000"/>
                      <w:szCs w:val="24"/>
                    </w:rPr>
                    <w:t xml:space="preserve"> </w:t>
                  </w:r>
                  <w:r w:rsidRPr="00507299">
                    <w:rPr>
                      <w:szCs w:val="24"/>
                    </w:rPr>
                    <w:t>tūkst. Eur.</w:t>
                  </w:r>
                </w:p>
                <w:p w14:paraId="015AD609" w14:textId="392DF7F1" w:rsidR="00A32A3E" w:rsidRPr="00507299" w:rsidRDefault="00A32A3E" w:rsidP="00A32A3E">
                  <w:pPr>
                    <w:jc w:val="both"/>
                    <w:rPr>
                      <w:b/>
                      <w:color w:val="000000"/>
                      <w:szCs w:val="24"/>
                    </w:rPr>
                  </w:pPr>
                  <w:r w:rsidRPr="00507299">
                    <w:rPr>
                      <w:szCs w:val="24"/>
                    </w:rPr>
                    <w:t>Finansavimo forma</w:t>
                  </w:r>
                  <w:r w:rsidRPr="00507299">
                    <w:rPr>
                      <w:b/>
                      <w:szCs w:val="24"/>
                    </w:rPr>
                    <w:t xml:space="preserve"> – </w:t>
                  </w:r>
                  <w:r w:rsidRPr="00507299">
                    <w:rPr>
                      <w:szCs w:val="24"/>
                    </w:rPr>
                    <w:t>dotacija.</w:t>
                  </w:r>
                </w:p>
              </w:tc>
              <w:tc>
                <w:tcPr>
                  <w:tcW w:w="1418" w:type="dxa"/>
                  <w:shd w:val="clear" w:color="auto" w:fill="auto"/>
                </w:tcPr>
                <w:p w14:paraId="54F8968E" w14:textId="1C76B9EE" w:rsidR="00A32A3E" w:rsidRPr="00507299" w:rsidRDefault="00A32A3E" w:rsidP="007244BF">
                  <w:pPr>
                    <w:rPr>
                      <w:color w:val="000000"/>
                      <w:szCs w:val="24"/>
                    </w:rPr>
                  </w:pPr>
                  <w:r w:rsidRPr="00507299">
                    <w:rPr>
                      <w:color w:val="000000"/>
                      <w:szCs w:val="24"/>
                    </w:rPr>
                    <w:t>2</w:t>
                  </w:r>
                  <w:r w:rsidR="001167EF" w:rsidRPr="00507299">
                    <w:rPr>
                      <w:color w:val="000000"/>
                      <w:szCs w:val="24"/>
                    </w:rPr>
                    <w:t>.1</w:t>
                  </w:r>
                  <w:r w:rsidR="007244BF" w:rsidRPr="00507299">
                    <w:rPr>
                      <w:color w:val="000000"/>
                      <w:szCs w:val="24"/>
                    </w:rPr>
                    <w:t>.</w:t>
                  </w:r>
                </w:p>
                <w:p w14:paraId="0B56E7F3" w14:textId="77777777" w:rsidR="00FD1068" w:rsidRPr="00507299" w:rsidRDefault="00FD1068" w:rsidP="007244BF">
                  <w:pPr>
                    <w:rPr>
                      <w:color w:val="000000"/>
                      <w:szCs w:val="24"/>
                    </w:rPr>
                  </w:pPr>
                </w:p>
                <w:p w14:paraId="14D1BC96" w14:textId="324FB9D0" w:rsidR="00A32A3E" w:rsidRPr="00507299" w:rsidRDefault="00C94723" w:rsidP="007244BF">
                  <w:pPr>
                    <w:rPr>
                      <w:b/>
                      <w:color w:val="000000"/>
                      <w:szCs w:val="24"/>
                    </w:rPr>
                  </w:pPr>
                  <w:r w:rsidRPr="00507299">
                    <w:rPr>
                      <w:color w:val="000000"/>
                      <w:szCs w:val="24"/>
                    </w:rPr>
                    <w:t>2.</w:t>
                  </w:r>
                  <w:r w:rsidR="001167EF" w:rsidRPr="00507299">
                    <w:rPr>
                      <w:color w:val="000000"/>
                      <w:szCs w:val="24"/>
                    </w:rPr>
                    <w:t>2</w:t>
                  </w:r>
                  <w:r w:rsidR="007244BF" w:rsidRPr="00507299">
                    <w:rPr>
                      <w:color w:val="000000"/>
                      <w:szCs w:val="24"/>
                    </w:rPr>
                    <w:t>.</w:t>
                  </w:r>
                </w:p>
              </w:tc>
            </w:tr>
            <w:tr w:rsidR="00FD1068" w:rsidRPr="00507299" w14:paraId="25AB2A4E" w14:textId="77777777" w:rsidTr="00A32A3E">
              <w:trPr>
                <w:jc w:val="center"/>
              </w:trPr>
              <w:tc>
                <w:tcPr>
                  <w:tcW w:w="7957" w:type="dxa"/>
                  <w:shd w:val="clear" w:color="auto" w:fill="auto"/>
                </w:tcPr>
                <w:p w14:paraId="25D95F0E" w14:textId="277AA9F8" w:rsidR="00D215C1" w:rsidRPr="00507299" w:rsidRDefault="00D215C1" w:rsidP="00D215C1">
                  <w:pPr>
                    <w:pStyle w:val="ListParagraph"/>
                    <w:numPr>
                      <w:ilvl w:val="1"/>
                      <w:numId w:val="2"/>
                    </w:numPr>
                    <w:tabs>
                      <w:tab w:val="left" w:pos="469"/>
                    </w:tabs>
                    <w:ind w:left="44" w:hanging="44"/>
                    <w:jc w:val="both"/>
                    <w:rPr>
                      <w:b/>
                      <w:color w:val="000000"/>
                      <w:szCs w:val="24"/>
                      <w:u w:val="single"/>
                    </w:rPr>
                  </w:pPr>
                  <w:r w:rsidRPr="00507299">
                    <w:rPr>
                      <w:b/>
                      <w:color w:val="000000"/>
                      <w:szCs w:val="24"/>
                      <w:u w:val="single"/>
                    </w:rPr>
                    <w:t xml:space="preserve">Kibernetinio saugumo subjektuose dirbančių darbuotojų, kibernetinio saugumo specialistų kompetencijų bei įgūdžių kibernetinio saugumo srityje stiprinimas bei pažeidžiamiausių visuomenės grupių kibernetinio saugumo brandos kėlimas </w:t>
                  </w:r>
                </w:p>
                <w:p w14:paraId="3169D4CB" w14:textId="68DF255B" w:rsidR="00FD1068" w:rsidRPr="00507299" w:rsidRDefault="00FD1068" w:rsidP="00D215C1">
                  <w:pPr>
                    <w:tabs>
                      <w:tab w:val="left" w:pos="598"/>
                    </w:tabs>
                    <w:jc w:val="both"/>
                    <w:rPr>
                      <w:bCs/>
                      <w:iCs/>
                      <w:szCs w:val="24"/>
                    </w:rPr>
                  </w:pPr>
                  <w:r w:rsidRPr="00507299">
                    <w:rPr>
                      <w:bCs/>
                      <w:iCs/>
                      <w:szCs w:val="24"/>
                    </w:rPr>
                    <w:t xml:space="preserve">Trumpas veiklos aprašymas: bus parengta mokymosi platforma, skirta kibernetinio saugumo subjektų (toliau – KSS)  darbuotojams suteikti kibernetinio saugumo žinių. Trūkstant kibernetinio saugumo specialistų, ypač tam tikrose </w:t>
                  </w:r>
                  <w:r w:rsidRPr="00507299">
                    <w:rPr>
                      <w:bCs/>
                      <w:iCs/>
                      <w:szCs w:val="24"/>
                    </w:rPr>
                    <w:lastRenderedPageBreak/>
                    <w:t xml:space="preserve">specifinėse srityse – incidentų valdymo, rizikų valdymo, grėsmių valdymo ir pan., bus organizuojamos veiklos kibernetinio saugumo specialistų kvalifikacijai kelti bei įgūdžiams tobulinti. Pasirinktomis mokymo priemonėmis taip pat bus </w:t>
                  </w:r>
                  <w:r w:rsidRPr="00507299">
                    <w:rPr>
                      <w:bCs/>
                      <w:color w:val="000000"/>
                      <w:szCs w:val="24"/>
                    </w:rPr>
                    <w:t>siekiama suteikti pažeidžiamiausioms visuomenės grupėms bazinių kibernetinių saugumo žinių ir kibernetinės higienos praktikos: atnaujinimų įdiegimo, sudėtingų slaptažodžių naudojimo, atsarginių kopijų darymo, atnaujinimo, tai daugeliu atvejų gali padėti išvengti kibernetinių atakų ir jų sukeliamos žalos.</w:t>
                  </w:r>
                </w:p>
                <w:p w14:paraId="1FFC8BB5" w14:textId="3ED9C3BD" w:rsidR="00FD1068" w:rsidRPr="00507299" w:rsidRDefault="00FD1068" w:rsidP="00FD1068">
                  <w:pPr>
                    <w:tabs>
                      <w:tab w:val="left" w:pos="598"/>
                    </w:tabs>
                    <w:jc w:val="both"/>
                    <w:rPr>
                      <w:bCs/>
                      <w:iCs/>
                      <w:szCs w:val="24"/>
                    </w:rPr>
                  </w:pPr>
                  <w:r w:rsidRPr="00507299">
                    <w:rPr>
                      <w:bCs/>
                      <w:iCs/>
                      <w:szCs w:val="24"/>
                    </w:rPr>
                    <w:t xml:space="preserve">Tikslinės grupės – KSS dirbantys darbuotojai, kibernetinio saugumo / informacinių technologijų specialistai, tikslinės visuomenės grupės (moksleiviai, senjorai, labai mažų, mažų ir vidutinių įmonių vadovai, labai mažų, mažų ir vidutinių įmonių darbuotojai) </w:t>
                  </w:r>
                </w:p>
                <w:p w14:paraId="22A2C449" w14:textId="77777777" w:rsidR="00FD1068" w:rsidRPr="00507299" w:rsidRDefault="00FD1068" w:rsidP="00FD1068">
                  <w:pPr>
                    <w:tabs>
                      <w:tab w:val="left" w:pos="598"/>
                    </w:tabs>
                    <w:jc w:val="both"/>
                    <w:rPr>
                      <w:szCs w:val="24"/>
                    </w:rPr>
                  </w:pPr>
                  <w:r w:rsidRPr="00507299">
                    <w:rPr>
                      <w:szCs w:val="24"/>
                    </w:rPr>
                    <w:t>Projektų vykdytojas –</w:t>
                  </w:r>
                  <w:r w:rsidRPr="00507299">
                    <w:rPr>
                      <w:b/>
                      <w:szCs w:val="24"/>
                    </w:rPr>
                    <w:t xml:space="preserve"> </w:t>
                  </w:r>
                  <w:r w:rsidRPr="00507299">
                    <w:rPr>
                      <w:szCs w:val="24"/>
                    </w:rPr>
                    <w:t xml:space="preserve">NKSC. </w:t>
                  </w:r>
                </w:p>
                <w:p w14:paraId="5950E34F" w14:textId="3088B93A" w:rsidR="00FD1068" w:rsidRPr="00507299" w:rsidRDefault="00FD1068" w:rsidP="00FD1068">
                  <w:pPr>
                    <w:tabs>
                      <w:tab w:val="left" w:pos="451"/>
                    </w:tabs>
                    <w:jc w:val="both"/>
                    <w:rPr>
                      <w:i/>
                      <w:szCs w:val="24"/>
                    </w:rPr>
                  </w:pPr>
                  <w:r w:rsidRPr="00507299">
                    <w:rPr>
                      <w:szCs w:val="24"/>
                    </w:rPr>
                    <w:t>Siekiami rezultatai:</w:t>
                  </w:r>
                  <w:r w:rsidRPr="00507299">
                    <w:rPr>
                      <w:rFonts w:eastAsia="Calibri"/>
                      <w:bCs/>
                      <w:szCs w:val="24"/>
                    </w:rPr>
                    <w:t xml:space="preserve"> </w:t>
                  </w:r>
                  <w:r w:rsidRPr="00507299">
                    <w:rPr>
                      <w:szCs w:val="24"/>
                    </w:rPr>
                    <w:t>šia veikla siekiama prisidėti prie problemos priežasčių</w:t>
                  </w:r>
                  <w:r w:rsidRPr="00507299">
                    <w:rPr>
                      <w:rFonts w:eastAsia="Calibri"/>
                      <w:bCs/>
                      <w:szCs w:val="24"/>
                    </w:rPr>
                    <w:t xml:space="preserve"> </w:t>
                  </w:r>
                  <w:r w:rsidR="00103E1D" w:rsidRPr="00507299">
                    <w:rPr>
                      <w:i/>
                      <w:szCs w:val="24"/>
                    </w:rPr>
                    <w:t>1.3. S</w:t>
                  </w:r>
                  <w:r w:rsidR="00103E1D" w:rsidRPr="00507299">
                    <w:rPr>
                      <w:rFonts w:eastAsia="Calibri"/>
                      <w:i/>
                      <w:szCs w:val="24"/>
                    </w:rPr>
                    <w:t>kirtingai taikomos kibernetinio atsparumo priemonės viešajame sektoriuje</w:t>
                  </w:r>
                  <w:r w:rsidR="00103E1D">
                    <w:rPr>
                      <w:rFonts w:eastAsia="Calibri"/>
                      <w:i/>
                      <w:szCs w:val="24"/>
                    </w:rPr>
                    <w:t xml:space="preserve">, </w:t>
                  </w:r>
                  <w:r w:rsidRPr="00507299">
                    <w:rPr>
                      <w:i/>
                      <w:szCs w:val="24"/>
                    </w:rPr>
                    <w:t xml:space="preserve">1.5. Skirtingai taikomos kibernetinio atsparumo priemonės viešajame sektoriuje; </w:t>
                  </w:r>
                  <w:r w:rsidRPr="00507299">
                    <w:rPr>
                      <w:rFonts w:eastAsia="Calibri"/>
                      <w:bCs/>
                      <w:i/>
                      <w:szCs w:val="24"/>
                    </w:rPr>
                    <w:t xml:space="preserve"> 1.6. T</w:t>
                  </w:r>
                  <w:r w:rsidRPr="00507299">
                    <w:rPr>
                      <w:rFonts w:eastAsia="Calibri"/>
                      <w:i/>
                      <w:szCs w:val="24"/>
                    </w:rPr>
                    <w:t xml:space="preserve">rūksta kibernetinio saugumo specialistų ir </w:t>
                  </w:r>
                  <w:r w:rsidRPr="00507299">
                    <w:rPr>
                      <w:rFonts w:eastAsia="Calibri"/>
                      <w:bCs/>
                      <w:i/>
                      <w:szCs w:val="24"/>
                    </w:rPr>
                    <w:t>3. </w:t>
                  </w:r>
                  <w:r w:rsidRPr="00507299">
                    <w:rPr>
                      <w:i/>
                      <w:szCs w:val="24"/>
                    </w:rPr>
                    <w:t xml:space="preserve">Žemas visuomenės ir smulkaus bei vidutinio verslo žinių kibernetinio saugumo srityje lygis ir praktiniai gebėjimai jas pritaikyti </w:t>
                  </w:r>
                  <w:r w:rsidRPr="00507299">
                    <w:rPr>
                      <w:szCs w:val="24"/>
                    </w:rPr>
                    <w:t>šalinimo</w:t>
                  </w:r>
                  <w:r w:rsidRPr="00507299">
                    <w:rPr>
                      <w:rFonts w:eastAsia="Calibri"/>
                      <w:i/>
                      <w:szCs w:val="24"/>
                    </w:rPr>
                    <w:t>.</w:t>
                  </w:r>
                </w:p>
                <w:p w14:paraId="0F2D2FC9" w14:textId="465625EA" w:rsidR="00FD1068" w:rsidRPr="00507299" w:rsidRDefault="00FD1068" w:rsidP="00FD1068">
                  <w:pPr>
                    <w:ind w:right="-57"/>
                    <w:rPr>
                      <w:szCs w:val="24"/>
                    </w:rPr>
                  </w:pPr>
                  <w:r w:rsidRPr="00507299">
                    <w:rPr>
                      <w:szCs w:val="24"/>
                    </w:rPr>
                    <w:t>Finansavimo apimtis – 2498,7</w:t>
                  </w:r>
                  <w:r w:rsidR="0040745C" w:rsidRPr="00507299">
                    <w:rPr>
                      <w:szCs w:val="24"/>
                    </w:rPr>
                    <w:t>7</w:t>
                  </w:r>
                  <w:r w:rsidRPr="00507299">
                    <w:rPr>
                      <w:szCs w:val="24"/>
                    </w:rPr>
                    <w:t>1</w:t>
                  </w:r>
                  <w:r w:rsidRPr="00507299">
                    <w:rPr>
                      <w:color w:val="000000"/>
                      <w:szCs w:val="24"/>
                    </w:rPr>
                    <w:t xml:space="preserve"> </w:t>
                  </w:r>
                  <w:r w:rsidRPr="00507299">
                    <w:rPr>
                      <w:szCs w:val="24"/>
                    </w:rPr>
                    <w:t xml:space="preserve">tūkst. Eur. </w:t>
                  </w:r>
                </w:p>
                <w:p w14:paraId="3DF73EEF" w14:textId="18E8AADC" w:rsidR="00B32598" w:rsidRPr="00507299" w:rsidRDefault="00FD1068" w:rsidP="004E6182">
                  <w:pPr>
                    <w:tabs>
                      <w:tab w:val="left" w:pos="598"/>
                    </w:tabs>
                    <w:jc w:val="both"/>
                    <w:rPr>
                      <w:szCs w:val="24"/>
                    </w:rPr>
                  </w:pPr>
                  <w:r w:rsidRPr="00507299">
                    <w:rPr>
                      <w:szCs w:val="24"/>
                    </w:rPr>
                    <w:t>Finansavimo forma –</w:t>
                  </w:r>
                  <w:r w:rsidRPr="00507299">
                    <w:rPr>
                      <w:b/>
                      <w:szCs w:val="24"/>
                    </w:rPr>
                    <w:t xml:space="preserve"> </w:t>
                  </w:r>
                  <w:r w:rsidRPr="00507299">
                    <w:rPr>
                      <w:szCs w:val="24"/>
                    </w:rPr>
                    <w:t xml:space="preserve">dotacija. </w:t>
                  </w:r>
                </w:p>
              </w:tc>
              <w:tc>
                <w:tcPr>
                  <w:tcW w:w="1418" w:type="dxa"/>
                  <w:shd w:val="clear" w:color="auto" w:fill="auto"/>
                </w:tcPr>
                <w:p w14:paraId="45E1E67F" w14:textId="6F6AABCF" w:rsidR="00FD1068" w:rsidRPr="00507299" w:rsidRDefault="00FD1068" w:rsidP="007244BF">
                  <w:pPr>
                    <w:tabs>
                      <w:tab w:val="left" w:pos="299"/>
                    </w:tabs>
                    <w:rPr>
                      <w:color w:val="000000"/>
                      <w:szCs w:val="24"/>
                    </w:rPr>
                  </w:pPr>
                  <w:r w:rsidRPr="00507299">
                    <w:rPr>
                      <w:color w:val="000000"/>
                      <w:szCs w:val="24"/>
                    </w:rPr>
                    <w:lastRenderedPageBreak/>
                    <w:t>1.3.1</w:t>
                  </w:r>
                  <w:r w:rsidR="007244BF" w:rsidRPr="00507299">
                    <w:rPr>
                      <w:color w:val="000000"/>
                      <w:szCs w:val="24"/>
                    </w:rPr>
                    <w:t>.</w:t>
                  </w:r>
                </w:p>
                <w:p w14:paraId="0654815D" w14:textId="77777777" w:rsidR="00FD1068" w:rsidRPr="00507299" w:rsidRDefault="00FD1068" w:rsidP="007244BF">
                  <w:pPr>
                    <w:tabs>
                      <w:tab w:val="left" w:pos="299"/>
                    </w:tabs>
                    <w:rPr>
                      <w:color w:val="000000"/>
                      <w:szCs w:val="24"/>
                    </w:rPr>
                  </w:pPr>
                </w:p>
                <w:p w14:paraId="5EED7180" w14:textId="77777777" w:rsidR="00103E1D" w:rsidRDefault="00103E1D" w:rsidP="007244BF">
                  <w:pPr>
                    <w:tabs>
                      <w:tab w:val="left" w:pos="299"/>
                    </w:tabs>
                    <w:rPr>
                      <w:color w:val="000000"/>
                      <w:szCs w:val="24"/>
                    </w:rPr>
                  </w:pPr>
                  <w:r>
                    <w:rPr>
                      <w:color w:val="000000"/>
                      <w:szCs w:val="24"/>
                    </w:rPr>
                    <w:t>1.5</w:t>
                  </w:r>
                </w:p>
                <w:p w14:paraId="5256D906" w14:textId="77777777" w:rsidR="00103E1D" w:rsidRDefault="00103E1D" w:rsidP="007244BF">
                  <w:pPr>
                    <w:tabs>
                      <w:tab w:val="left" w:pos="299"/>
                    </w:tabs>
                    <w:rPr>
                      <w:color w:val="000000"/>
                      <w:szCs w:val="24"/>
                    </w:rPr>
                  </w:pPr>
                </w:p>
                <w:p w14:paraId="72F37D7C" w14:textId="069DD38C" w:rsidR="00FD1068" w:rsidRPr="00507299" w:rsidRDefault="00FD1068" w:rsidP="007244BF">
                  <w:pPr>
                    <w:tabs>
                      <w:tab w:val="left" w:pos="299"/>
                    </w:tabs>
                    <w:rPr>
                      <w:color w:val="000000"/>
                      <w:szCs w:val="24"/>
                    </w:rPr>
                  </w:pPr>
                  <w:r w:rsidRPr="00507299">
                    <w:rPr>
                      <w:color w:val="000000"/>
                      <w:szCs w:val="24"/>
                    </w:rPr>
                    <w:t>1.6</w:t>
                  </w:r>
                  <w:r w:rsidR="007244BF" w:rsidRPr="00507299">
                    <w:rPr>
                      <w:color w:val="000000"/>
                      <w:szCs w:val="24"/>
                    </w:rPr>
                    <w:t>.</w:t>
                  </w:r>
                </w:p>
                <w:p w14:paraId="022200CD" w14:textId="77777777" w:rsidR="00FD1068" w:rsidRPr="00507299" w:rsidRDefault="00FD1068" w:rsidP="007244BF">
                  <w:pPr>
                    <w:tabs>
                      <w:tab w:val="left" w:pos="299"/>
                    </w:tabs>
                    <w:rPr>
                      <w:color w:val="000000"/>
                      <w:szCs w:val="24"/>
                    </w:rPr>
                  </w:pPr>
                </w:p>
                <w:p w14:paraId="5136280C" w14:textId="65825C02" w:rsidR="00FD1068" w:rsidRPr="00507299" w:rsidRDefault="00FD1068" w:rsidP="007244BF">
                  <w:pPr>
                    <w:rPr>
                      <w:b/>
                      <w:color w:val="000000"/>
                      <w:szCs w:val="24"/>
                    </w:rPr>
                  </w:pPr>
                  <w:r w:rsidRPr="00507299">
                    <w:rPr>
                      <w:color w:val="000000"/>
                      <w:szCs w:val="24"/>
                    </w:rPr>
                    <w:t>3.1</w:t>
                  </w:r>
                  <w:r w:rsidR="007244BF" w:rsidRPr="00507299">
                    <w:rPr>
                      <w:color w:val="000000"/>
                      <w:szCs w:val="24"/>
                    </w:rPr>
                    <w:t>.</w:t>
                  </w:r>
                </w:p>
              </w:tc>
            </w:tr>
            <w:tr w:rsidR="00FD1068" w:rsidRPr="00507299" w14:paraId="7E3066A3" w14:textId="77777777" w:rsidTr="00A32A3E">
              <w:trPr>
                <w:jc w:val="center"/>
              </w:trPr>
              <w:tc>
                <w:tcPr>
                  <w:tcW w:w="7957" w:type="dxa"/>
                  <w:shd w:val="clear" w:color="auto" w:fill="auto"/>
                </w:tcPr>
                <w:p w14:paraId="77995911" w14:textId="562833AF" w:rsidR="004B4840" w:rsidRPr="00507299" w:rsidRDefault="004B4840" w:rsidP="00FD1068">
                  <w:pPr>
                    <w:pStyle w:val="CommentText"/>
                    <w:rPr>
                      <w:bCs/>
                      <w:iCs/>
                      <w:sz w:val="22"/>
                      <w:szCs w:val="18"/>
                    </w:rPr>
                  </w:pPr>
                  <w:r w:rsidRPr="000C794A">
                    <w:rPr>
                      <w:b/>
                      <w:sz w:val="24"/>
                      <w:szCs w:val="18"/>
                      <w:u w:val="single"/>
                    </w:rPr>
                    <w:t>5.1.</w:t>
                  </w:r>
                  <w:r w:rsidRPr="000C794A">
                    <w:rPr>
                      <w:sz w:val="24"/>
                      <w:szCs w:val="18"/>
                      <w:u w:val="single"/>
                    </w:rPr>
                    <w:t xml:space="preserve"> </w:t>
                  </w:r>
                  <w:r w:rsidRPr="000C794A">
                    <w:rPr>
                      <w:b/>
                      <w:color w:val="000000"/>
                      <w:sz w:val="24"/>
                      <w:szCs w:val="24"/>
                      <w:u w:val="single"/>
                    </w:rPr>
                    <w:t>Saugiajame</w:t>
                  </w:r>
                  <w:r w:rsidRPr="00507299">
                    <w:rPr>
                      <w:b/>
                      <w:color w:val="000000"/>
                      <w:sz w:val="24"/>
                      <w:szCs w:val="24"/>
                      <w:u w:val="single"/>
                    </w:rPr>
                    <w:t xml:space="preserve"> tinkle esančių informacinių išteklių auditas ir kibernetinių saugos priemonių architektūros, užtikrinančios atsparumą ir tinkle esančių informacinių išteklių pasiekiamumą, sukūrimas</w:t>
                  </w:r>
                  <w:r w:rsidRPr="00507299">
                    <w:rPr>
                      <w:bCs/>
                      <w:iCs/>
                      <w:sz w:val="22"/>
                      <w:szCs w:val="18"/>
                    </w:rPr>
                    <w:t xml:space="preserve"> </w:t>
                  </w:r>
                </w:p>
                <w:p w14:paraId="4C2D8584" w14:textId="50FAD8E9" w:rsidR="00FD1068" w:rsidRPr="00507299" w:rsidRDefault="00FD1068" w:rsidP="004B4840">
                  <w:pPr>
                    <w:pStyle w:val="CommentText"/>
                    <w:jc w:val="both"/>
                    <w:rPr>
                      <w:b/>
                      <w:sz w:val="22"/>
                      <w:szCs w:val="18"/>
                    </w:rPr>
                  </w:pPr>
                  <w:r w:rsidRPr="00507299">
                    <w:rPr>
                      <w:bCs/>
                      <w:iCs/>
                      <w:sz w:val="24"/>
                      <w:szCs w:val="24"/>
                    </w:rPr>
                    <w:t xml:space="preserve">Trumpas veiklos aprašymas: </w:t>
                  </w:r>
                  <w:r w:rsidRPr="00507299">
                    <w:rPr>
                      <w:sz w:val="24"/>
                      <w:szCs w:val="24"/>
                    </w:rPr>
                    <w:t xml:space="preserve">bus atliktas Saugiajame tinkle esančių </w:t>
                  </w:r>
                  <w:r w:rsidR="00B32598" w:rsidRPr="00507299">
                    <w:rPr>
                      <w:sz w:val="24"/>
                      <w:szCs w:val="24"/>
                    </w:rPr>
                    <w:t xml:space="preserve">informacinių </w:t>
                  </w:r>
                  <w:r w:rsidRPr="00507299">
                    <w:rPr>
                      <w:sz w:val="24"/>
                      <w:szCs w:val="24"/>
                    </w:rPr>
                    <w:t>išteklių auditas, parengtas naujas Saugiojo tinklo informacinių išteklių sąveikos ir kibernetinės saugos architektūros modelis.</w:t>
                  </w:r>
                </w:p>
                <w:p w14:paraId="0968084D" w14:textId="77777777" w:rsidR="00FD1068" w:rsidRPr="00507299" w:rsidRDefault="00FD1068" w:rsidP="00FD1068">
                  <w:pPr>
                    <w:jc w:val="both"/>
                    <w:rPr>
                      <w:bCs/>
                      <w:iCs/>
                      <w:szCs w:val="24"/>
                    </w:rPr>
                  </w:pPr>
                  <w:r w:rsidRPr="00507299">
                    <w:rPr>
                      <w:bCs/>
                      <w:iCs/>
                      <w:szCs w:val="24"/>
                    </w:rPr>
                    <w:t>Tikslinė grupė – Saugiojo tinklo naudotojai.</w:t>
                  </w:r>
                </w:p>
                <w:p w14:paraId="7713224C" w14:textId="77777777" w:rsidR="00FD1068" w:rsidRPr="00507299" w:rsidRDefault="00FD1068" w:rsidP="00FD1068">
                  <w:pPr>
                    <w:tabs>
                      <w:tab w:val="left" w:pos="598"/>
                    </w:tabs>
                    <w:ind w:firstLine="24"/>
                    <w:jc w:val="both"/>
                    <w:rPr>
                      <w:szCs w:val="24"/>
                    </w:rPr>
                  </w:pPr>
                  <w:r w:rsidRPr="00507299">
                    <w:rPr>
                      <w:szCs w:val="24"/>
                    </w:rPr>
                    <w:t>Projektų vykdytojas –</w:t>
                  </w:r>
                  <w:r w:rsidRPr="00507299">
                    <w:rPr>
                      <w:b/>
                      <w:szCs w:val="24"/>
                    </w:rPr>
                    <w:t xml:space="preserve"> </w:t>
                  </w:r>
                  <w:r w:rsidRPr="00507299">
                    <w:rPr>
                      <w:szCs w:val="24"/>
                    </w:rPr>
                    <w:t xml:space="preserve">Kertinis valstybės telekomunikacijų centras.  </w:t>
                  </w:r>
                </w:p>
                <w:p w14:paraId="3417C3E2" w14:textId="77777777" w:rsidR="00FD1068" w:rsidRPr="00507299" w:rsidRDefault="00FD1068" w:rsidP="00FD1068">
                  <w:pPr>
                    <w:jc w:val="both"/>
                    <w:rPr>
                      <w:rFonts w:eastAsia="Calibri"/>
                      <w:i/>
                      <w:szCs w:val="24"/>
                    </w:rPr>
                  </w:pPr>
                  <w:r w:rsidRPr="00507299">
                    <w:rPr>
                      <w:szCs w:val="24"/>
                    </w:rPr>
                    <w:t>Siekiami rezultatai:</w:t>
                  </w:r>
                  <w:r w:rsidRPr="00507299">
                    <w:rPr>
                      <w:rFonts w:eastAsia="Calibri"/>
                      <w:szCs w:val="24"/>
                    </w:rPr>
                    <w:t xml:space="preserve"> </w:t>
                  </w:r>
                  <w:r w:rsidRPr="00507299">
                    <w:rPr>
                      <w:szCs w:val="24"/>
                    </w:rPr>
                    <w:t>šia veikla siekiama prisidėti prie problemos priežasties</w:t>
                  </w:r>
                  <w:r w:rsidRPr="00507299">
                    <w:rPr>
                      <w:rFonts w:eastAsia="Calibri"/>
                      <w:bCs/>
                      <w:szCs w:val="24"/>
                    </w:rPr>
                    <w:t xml:space="preserve"> </w:t>
                  </w:r>
                  <w:r w:rsidRPr="00507299">
                    <w:rPr>
                      <w:rFonts w:eastAsia="Calibri"/>
                      <w:bCs/>
                      <w:i/>
                      <w:szCs w:val="24"/>
                    </w:rPr>
                    <w:t>1.3. S</w:t>
                  </w:r>
                  <w:r w:rsidRPr="00507299">
                    <w:rPr>
                      <w:rFonts w:eastAsia="Calibri"/>
                      <w:i/>
                      <w:szCs w:val="24"/>
                    </w:rPr>
                    <w:t>kirtingai taikomos kibernetinio atsparumo priemonės viešajame sektoriuje</w:t>
                  </w:r>
                  <w:r w:rsidRPr="00507299">
                    <w:rPr>
                      <w:szCs w:val="24"/>
                    </w:rPr>
                    <w:t xml:space="preserve"> šalinimo</w:t>
                  </w:r>
                  <w:r w:rsidRPr="00507299">
                    <w:rPr>
                      <w:rFonts w:eastAsia="Calibri"/>
                      <w:i/>
                      <w:szCs w:val="24"/>
                    </w:rPr>
                    <w:t>.</w:t>
                  </w:r>
                </w:p>
                <w:p w14:paraId="0EC27BC3" w14:textId="08446A21" w:rsidR="00FD1068" w:rsidRPr="00507299" w:rsidRDefault="00FD1068" w:rsidP="00FD1068">
                  <w:pPr>
                    <w:ind w:right="-57"/>
                    <w:rPr>
                      <w:szCs w:val="24"/>
                    </w:rPr>
                  </w:pPr>
                  <w:r w:rsidRPr="00507299">
                    <w:rPr>
                      <w:szCs w:val="24"/>
                    </w:rPr>
                    <w:t>Finansavimo apimtis –</w:t>
                  </w:r>
                  <w:r w:rsidRPr="00507299">
                    <w:rPr>
                      <w:b/>
                      <w:szCs w:val="24"/>
                    </w:rPr>
                    <w:t xml:space="preserve"> </w:t>
                  </w:r>
                  <w:r w:rsidR="00B32598" w:rsidRPr="00507299">
                    <w:rPr>
                      <w:szCs w:val="24"/>
                    </w:rPr>
                    <w:t>1553,64</w:t>
                  </w:r>
                  <w:r w:rsidRPr="00507299">
                    <w:rPr>
                      <w:color w:val="000000"/>
                      <w:szCs w:val="24"/>
                    </w:rPr>
                    <w:t xml:space="preserve"> </w:t>
                  </w:r>
                  <w:r w:rsidRPr="00507299">
                    <w:rPr>
                      <w:szCs w:val="24"/>
                    </w:rPr>
                    <w:t xml:space="preserve">tūkst. Eur. </w:t>
                  </w:r>
                </w:p>
                <w:p w14:paraId="161266E6" w14:textId="5612A654" w:rsidR="00FD1068" w:rsidRPr="00507299" w:rsidRDefault="00FD1068" w:rsidP="00FD1068">
                  <w:pPr>
                    <w:rPr>
                      <w:b/>
                      <w:color w:val="000000"/>
                      <w:szCs w:val="24"/>
                    </w:rPr>
                  </w:pPr>
                  <w:r w:rsidRPr="00507299">
                    <w:rPr>
                      <w:szCs w:val="24"/>
                    </w:rPr>
                    <w:t>Finansavimo forma –</w:t>
                  </w:r>
                  <w:r w:rsidRPr="00507299">
                    <w:rPr>
                      <w:b/>
                      <w:szCs w:val="24"/>
                    </w:rPr>
                    <w:t xml:space="preserve"> </w:t>
                  </w:r>
                  <w:r w:rsidRPr="00507299">
                    <w:rPr>
                      <w:szCs w:val="24"/>
                    </w:rPr>
                    <w:t>dotacija.</w:t>
                  </w:r>
                </w:p>
              </w:tc>
              <w:tc>
                <w:tcPr>
                  <w:tcW w:w="1418" w:type="dxa"/>
                  <w:shd w:val="clear" w:color="auto" w:fill="auto"/>
                </w:tcPr>
                <w:p w14:paraId="5B023176" w14:textId="2483D117" w:rsidR="00FD1068" w:rsidRPr="00507299" w:rsidRDefault="00FD1068" w:rsidP="007244BF">
                  <w:pPr>
                    <w:rPr>
                      <w:color w:val="000000"/>
                      <w:szCs w:val="24"/>
                    </w:rPr>
                  </w:pPr>
                  <w:r w:rsidRPr="00507299">
                    <w:rPr>
                      <w:color w:val="000000"/>
                      <w:szCs w:val="24"/>
                    </w:rPr>
                    <w:t>1.3.2.</w:t>
                  </w:r>
                </w:p>
              </w:tc>
            </w:tr>
            <w:tr w:rsidR="00FD1068" w:rsidRPr="00507299" w14:paraId="6BD68108" w14:textId="77777777" w:rsidTr="00A32A3E">
              <w:trPr>
                <w:jc w:val="center"/>
              </w:trPr>
              <w:tc>
                <w:tcPr>
                  <w:tcW w:w="7957" w:type="dxa"/>
                  <w:shd w:val="clear" w:color="auto" w:fill="auto"/>
                </w:tcPr>
                <w:p w14:paraId="7D8EE2CF" w14:textId="5F07356D" w:rsidR="00FD1068" w:rsidRPr="00507299" w:rsidRDefault="00FD1068" w:rsidP="00FD1068">
                  <w:pPr>
                    <w:jc w:val="both"/>
                    <w:rPr>
                      <w:b/>
                      <w:color w:val="000000"/>
                      <w:szCs w:val="24"/>
                      <w:u w:val="single"/>
                    </w:rPr>
                  </w:pPr>
                  <w:r w:rsidRPr="00507299">
                    <w:rPr>
                      <w:b/>
                      <w:color w:val="000000"/>
                      <w:szCs w:val="24"/>
                      <w:u w:val="single"/>
                    </w:rPr>
                    <w:t>6.</w:t>
                  </w:r>
                  <w:r w:rsidR="004B4840" w:rsidRPr="00507299">
                    <w:rPr>
                      <w:b/>
                      <w:color w:val="000000"/>
                      <w:szCs w:val="24"/>
                      <w:u w:val="single"/>
                    </w:rPr>
                    <w:t>1.</w:t>
                  </w:r>
                  <w:r w:rsidRPr="00507299">
                    <w:rPr>
                      <w:b/>
                      <w:color w:val="000000"/>
                      <w:szCs w:val="24"/>
                      <w:u w:val="single"/>
                    </w:rPr>
                    <w:t xml:space="preserve"> </w:t>
                  </w:r>
                  <w:r w:rsidR="004B4840" w:rsidRPr="00507299">
                    <w:rPr>
                      <w:b/>
                      <w:color w:val="000000"/>
                      <w:szCs w:val="24"/>
                      <w:u w:val="single"/>
                    </w:rPr>
                    <w:t>Nusikalstamų veikų elektroninėje erdvėje prevencijai, užkardymui ir tyrimui reikalingos infrastruktūros sukūrimas ir šias veiklas vykdančių specialistų kompetencijų stiprinimas</w:t>
                  </w:r>
                </w:p>
                <w:p w14:paraId="6DA01FC6" w14:textId="4491AB15" w:rsidR="00FD1068" w:rsidRPr="00507299" w:rsidRDefault="00FD1068" w:rsidP="00FD1068">
                  <w:pPr>
                    <w:pStyle w:val="ListParagraph"/>
                    <w:widowControl w:val="0"/>
                    <w:ind w:left="0"/>
                    <w:jc w:val="both"/>
                    <w:rPr>
                      <w:spacing w:val="-3"/>
                      <w:szCs w:val="24"/>
                    </w:rPr>
                  </w:pPr>
                  <w:r w:rsidRPr="00507299">
                    <w:rPr>
                      <w:bCs/>
                      <w:iCs/>
                      <w:szCs w:val="24"/>
                    </w:rPr>
                    <w:t xml:space="preserve">Trumpas veiklos aprašymas: bus atnaujinta šiuo metu naudojama techninė ir programinė įranga, užtikrinanti </w:t>
                  </w:r>
                  <w:r w:rsidRPr="00507299">
                    <w:rPr>
                      <w:spacing w:val="-3"/>
                      <w:szCs w:val="24"/>
                    </w:rPr>
                    <w:t>galimybę apdoroti didelius duomenų kiekius bei efektyviai ištirti elektroninius nusikaltimus</w:t>
                  </w:r>
                  <w:r w:rsidR="007F7A89" w:rsidRPr="00507299">
                    <w:rPr>
                      <w:spacing w:val="-3"/>
                      <w:szCs w:val="24"/>
                    </w:rPr>
                    <w:t xml:space="preserve">, taip pat </w:t>
                  </w:r>
                  <w:r w:rsidR="007F7A89" w:rsidRPr="00507299">
                    <w:rPr>
                      <w:bCs/>
                      <w:iCs/>
                      <w:szCs w:val="24"/>
                    </w:rPr>
                    <w:t>bus parengta mokymosi platforma ir programa, skirta elektroninius nusikaltimus tiriantiems specialistams ruošti bei jų kvalifikacijai kelti. Nusikalstamų veikų elektroninėje erdvėje prevenciją, užkardymą, tyrimą vykdantys darbuotojai kels savo kvalifikaciją mokymuose, stažuotėse, bus vykdomos kitos veiklos, stiprinančios jų praktinius įgūdžius.</w:t>
                  </w:r>
                </w:p>
                <w:p w14:paraId="32EFE372" w14:textId="77777777" w:rsidR="00FD1068" w:rsidRPr="00507299" w:rsidRDefault="00FD1068" w:rsidP="00FD1068">
                  <w:pPr>
                    <w:tabs>
                      <w:tab w:val="left" w:pos="598"/>
                    </w:tabs>
                    <w:ind w:firstLine="24"/>
                    <w:jc w:val="both"/>
                    <w:rPr>
                      <w:bCs/>
                      <w:iCs/>
                      <w:szCs w:val="24"/>
                    </w:rPr>
                  </w:pPr>
                  <w:r w:rsidRPr="00507299">
                    <w:rPr>
                      <w:bCs/>
                      <w:iCs/>
                      <w:szCs w:val="24"/>
                    </w:rPr>
                    <w:t xml:space="preserve">Tikslinė grupė – nusikalstamų veikų elektroninėje erdvėje prevenciją, užkardymą, tyrimą vykdantys darbuotojai.  </w:t>
                  </w:r>
                </w:p>
                <w:p w14:paraId="37F55146" w14:textId="77777777" w:rsidR="00FD1068" w:rsidRPr="00507299" w:rsidRDefault="00FD1068" w:rsidP="00FD1068">
                  <w:pPr>
                    <w:tabs>
                      <w:tab w:val="left" w:pos="598"/>
                    </w:tabs>
                    <w:ind w:firstLine="24"/>
                    <w:jc w:val="both"/>
                    <w:rPr>
                      <w:szCs w:val="24"/>
                    </w:rPr>
                  </w:pPr>
                  <w:r w:rsidRPr="00507299">
                    <w:rPr>
                      <w:szCs w:val="24"/>
                    </w:rPr>
                    <w:t xml:space="preserve">Projektų vykdytojas – Policijos departamentas prie Vidaus reikalų ministerijos. </w:t>
                  </w:r>
                </w:p>
                <w:p w14:paraId="593BC17F" w14:textId="10EDF28E" w:rsidR="00FD1068" w:rsidRPr="00507299" w:rsidRDefault="00FD1068" w:rsidP="00FD1068">
                  <w:pPr>
                    <w:tabs>
                      <w:tab w:val="left" w:pos="1048"/>
                    </w:tabs>
                    <w:jc w:val="both"/>
                    <w:rPr>
                      <w:rFonts w:eastAsia="Calibri"/>
                      <w:i/>
                      <w:szCs w:val="24"/>
                    </w:rPr>
                  </w:pPr>
                  <w:r w:rsidRPr="00507299">
                    <w:rPr>
                      <w:szCs w:val="24"/>
                    </w:rPr>
                    <w:t>Siekiami rezultatai:</w:t>
                  </w:r>
                  <w:r w:rsidRPr="00507299">
                    <w:rPr>
                      <w:rFonts w:eastAsia="Calibri"/>
                      <w:szCs w:val="24"/>
                    </w:rPr>
                    <w:t xml:space="preserve"> </w:t>
                  </w:r>
                  <w:r w:rsidRPr="00507299">
                    <w:rPr>
                      <w:szCs w:val="24"/>
                    </w:rPr>
                    <w:t>šia veikla siekiama prisidėti prie problemos priežas</w:t>
                  </w:r>
                  <w:r w:rsidR="007F7A89" w:rsidRPr="00507299">
                    <w:rPr>
                      <w:szCs w:val="24"/>
                    </w:rPr>
                    <w:t>čių</w:t>
                  </w:r>
                  <w:r w:rsidRPr="00507299">
                    <w:rPr>
                      <w:szCs w:val="24"/>
                    </w:rPr>
                    <w:t xml:space="preserve"> </w:t>
                  </w:r>
                  <w:r w:rsidRPr="00507299">
                    <w:rPr>
                      <w:rFonts w:eastAsia="Calibri"/>
                      <w:bCs/>
                      <w:i/>
                      <w:szCs w:val="24"/>
                    </w:rPr>
                    <w:t>2.1. N</w:t>
                  </w:r>
                  <w:r w:rsidRPr="00507299">
                    <w:rPr>
                      <w:rFonts w:eastAsia="Calibri"/>
                      <w:i/>
                      <w:szCs w:val="24"/>
                    </w:rPr>
                    <w:t>evystoma elektroninių nusikaltimų tyrimo infrastruktūra</w:t>
                  </w:r>
                  <w:r w:rsidR="007F7A89" w:rsidRPr="00507299">
                    <w:rPr>
                      <w:rFonts w:eastAsia="Calibri"/>
                      <w:i/>
                      <w:szCs w:val="24"/>
                    </w:rPr>
                    <w:t xml:space="preserve"> ir 2.2. Mažai dėmesio skiriama elektroninių  nusikaltimų tyrėjų kompetencijoms didinti </w:t>
                  </w:r>
                  <w:r w:rsidRPr="00507299">
                    <w:rPr>
                      <w:rFonts w:eastAsia="Calibri"/>
                      <w:szCs w:val="24"/>
                    </w:rPr>
                    <w:t>šalinimo</w:t>
                  </w:r>
                  <w:r w:rsidRPr="00507299">
                    <w:rPr>
                      <w:rFonts w:eastAsia="Calibri"/>
                      <w:i/>
                      <w:szCs w:val="24"/>
                    </w:rPr>
                    <w:t>.</w:t>
                  </w:r>
                </w:p>
                <w:p w14:paraId="647B0185" w14:textId="361A62C1" w:rsidR="00FD1068" w:rsidRPr="00507299" w:rsidRDefault="00FD1068" w:rsidP="00FD1068">
                  <w:pPr>
                    <w:ind w:right="-57"/>
                    <w:rPr>
                      <w:szCs w:val="24"/>
                    </w:rPr>
                  </w:pPr>
                  <w:r w:rsidRPr="00507299">
                    <w:rPr>
                      <w:szCs w:val="24"/>
                    </w:rPr>
                    <w:t>Finansavimo apimtis</w:t>
                  </w:r>
                  <w:r w:rsidRPr="00507299">
                    <w:rPr>
                      <w:b/>
                      <w:szCs w:val="24"/>
                    </w:rPr>
                    <w:t xml:space="preserve"> – </w:t>
                  </w:r>
                  <w:r w:rsidR="007F7A89" w:rsidRPr="00507299">
                    <w:rPr>
                      <w:szCs w:val="24"/>
                    </w:rPr>
                    <w:t>7107,903</w:t>
                  </w:r>
                  <w:r w:rsidRPr="00507299">
                    <w:rPr>
                      <w:color w:val="000000"/>
                      <w:szCs w:val="24"/>
                    </w:rPr>
                    <w:t xml:space="preserve"> </w:t>
                  </w:r>
                  <w:r w:rsidRPr="00507299">
                    <w:rPr>
                      <w:szCs w:val="24"/>
                    </w:rPr>
                    <w:t xml:space="preserve">tūkst. Eur. </w:t>
                  </w:r>
                </w:p>
                <w:p w14:paraId="65650AC4" w14:textId="6075BE00" w:rsidR="00FD1068" w:rsidRPr="00507299" w:rsidRDefault="00FD1068" w:rsidP="004B4840">
                  <w:pPr>
                    <w:rPr>
                      <w:b/>
                      <w:color w:val="000000"/>
                      <w:szCs w:val="24"/>
                    </w:rPr>
                  </w:pPr>
                  <w:r w:rsidRPr="00507299">
                    <w:rPr>
                      <w:szCs w:val="24"/>
                    </w:rPr>
                    <w:lastRenderedPageBreak/>
                    <w:t>Finansavimo forma –</w:t>
                  </w:r>
                  <w:r w:rsidRPr="00507299">
                    <w:rPr>
                      <w:b/>
                      <w:szCs w:val="24"/>
                    </w:rPr>
                    <w:t xml:space="preserve"> </w:t>
                  </w:r>
                  <w:r w:rsidRPr="00507299">
                    <w:rPr>
                      <w:szCs w:val="24"/>
                    </w:rPr>
                    <w:t>dotacija.</w:t>
                  </w:r>
                </w:p>
              </w:tc>
              <w:tc>
                <w:tcPr>
                  <w:tcW w:w="1418" w:type="dxa"/>
                  <w:shd w:val="clear" w:color="auto" w:fill="auto"/>
                </w:tcPr>
                <w:p w14:paraId="20403249" w14:textId="77777777" w:rsidR="00FD1068" w:rsidRPr="00507299" w:rsidRDefault="00FD1068" w:rsidP="007244BF">
                  <w:pPr>
                    <w:rPr>
                      <w:color w:val="000000"/>
                      <w:szCs w:val="24"/>
                    </w:rPr>
                  </w:pPr>
                  <w:r w:rsidRPr="00507299">
                    <w:rPr>
                      <w:color w:val="000000"/>
                      <w:szCs w:val="24"/>
                    </w:rPr>
                    <w:lastRenderedPageBreak/>
                    <w:t>2.1.</w:t>
                  </w:r>
                </w:p>
                <w:p w14:paraId="59D5E167" w14:textId="77777777" w:rsidR="00FD1068" w:rsidRPr="00507299" w:rsidRDefault="00FD1068" w:rsidP="00FD1068">
                  <w:pPr>
                    <w:jc w:val="both"/>
                    <w:rPr>
                      <w:color w:val="000000"/>
                      <w:szCs w:val="24"/>
                    </w:rPr>
                  </w:pPr>
                </w:p>
                <w:p w14:paraId="705AF0D8" w14:textId="7D34FFCF" w:rsidR="00FD1068" w:rsidRPr="00507299" w:rsidRDefault="00FD1068" w:rsidP="007244BF">
                  <w:pPr>
                    <w:rPr>
                      <w:b/>
                      <w:color w:val="000000"/>
                      <w:szCs w:val="24"/>
                    </w:rPr>
                  </w:pPr>
                  <w:r w:rsidRPr="00507299">
                    <w:rPr>
                      <w:color w:val="000000"/>
                      <w:szCs w:val="24"/>
                    </w:rPr>
                    <w:t>2.2.</w:t>
                  </w:r>
                </w:p>
              </w:tc>
            </w:tr>
            <w:tr w:rsidR="00FD1068" w:rsidRPr="00507299" w14:paraId="2FDC71B8" w14:textId="2A8193F4" w:rsidTr="00A32A3E">
              <w:trPr>
                <w:jc w:val="center"/>
              </w:trPr>
              <w:tc>
                <w:tcPr>
                  <w:tcW w:w="7957" w:type="dxa"/>
                </w:tcPr>
                <w:p w14:paraId="494A828D" w14:textId="77777777" w:rsidR="00ED1E89" w:rsidRPr="00507299" w:rsidRDefault="00FD1068" w:rsidP="007F7A89">
                  <w:pPr>
                    <w:tabs>
                      <w:tab w:val="left" w:pos="598"/>
                    </w:tabs>
                    <w:jc w:val="both"/>
                    <w:rPr>
                      <w:bCs/>
                      <w:iCs/>
                      <w:sz w:val="18"/>
                      <w:szCs w:val="18"/>
                    </w:rPr>
                  </w:pPr>
                  <w:r w:rsidRPr="00507299">
                    <w:rPr>
                      <w:b/>
                      <w:iCs/>
                      <w:szCs w:val="24"/>
                      <w:u w:val="single"/>
                    </w:rPr>
                    <w:t xml:space="preserve">7.1. </w:t>
                  </w:r>
                  <w:r w:rsidR="00ED1E89" w:rsidRPr="00507299">
                    <w:rPr>
                      <w:b/>
                      <w:color w:val="000000"/>
                      <w:szCs w:val="24"/>
                      <w:u w:val="single"/>
                    </w:rPr>
                    <w:t>Kibernetinio saugumo valdysenos Lietuvoje stiprinimas</w:t>
                  </w:r>
                  <w:r w:rsidR="00ED1E89" w:rsidRPr="00507299">
                    <w:rPr>
                      <w:bCs/>
                      <w:iCs/>
                      <w:sz w:val="18"/>
                      <w:szCs w:val="18"/>
                    </w:rPr>
                    <w:t xml:space="preserve"> </w:t>
                  </w:r>
                </w:p>
                <w:p w14:paraId="4E22627C" w14:textId="6F8CED2D" w:rsidR="007F7A89" w:rsidRPr="00507299" w:rsidRDefault="00FD1068" w:rsidP="007F7A89">
                  <w:pPr>
                    <w:tabs>
                      <w:tab w:val="left" w:pos="598"/>
                    </w:tabs>
                    <w:jc w:val="both"/>
                    <w:rPr>
                      <w:bCs/>
                      <w:iCs/>
                      <w:szCs w:val="24"/>
                    </w:rPr>
                  </w:pPr>
                  <w:r w:rsidRPr="00507299">
                    <w:rPr>
                      <w:bCs/>
                      <w:iCs/>
                      <w:szCs w:val="24"/>
                    </w:rPr>
                    <w:t xml:space="preserve">Trumpas veiklos aprašymas: </w:t>
                  </w:r>
                  <w:r w:rsidRPr="00507299">
                    <w:rPr>
                      <w:bCs/>
                      <w:szCs w:val="24"/>
                    </w:rPr>
                    <w:t xml:space="preserve">Krašto apsaugos ministerija, kaip kibernetinio saugumo politikos formuotoja, rengs naują, </w:t>
                  </w:r>
                  <w:r w:rsidRPr="00507299">
                    <w:rPr>
                      <w:iCs/>
                      <w:szCs w:val="24"/>
                    </w:rPr>
                    <w:t>TIS2 reikalavimus atitinkantį,</w:t>
                  </w:r>
                  <w:r w:rsidRPr="00507299">
                    <w:rPr>
                      <w:bCs/>
                      <w:szCs w:val="24"/>
                    </w:rPr>
                    <w:t xml:space="preserve"> kibernetinio saugumo modelį Lietuvos Respublikoje</w:t>
                  </w:r>
                  <w:r w:rsidR="007F7A89" w:rsidRPr="00507299">
                    <w:rPr>
                      <w:bCs/>
                      <w:szCs w:val="24"/>
                    </w:rPr>
                    <w:t xml:space="preserve">, peržiūrės </w:t>
                  </w:r>
                  <w:r w:rsidR="007F7A89" w:rsidRPr="00507299">
                    <w:rPr>
                      <w:bCs/>
                      <w:iCs/>
                      <w:color w:val="000000"/>
                      <w:szCs w:val="24"/>
                      <w:shd w:val="clear" w:color="auto" w:fill="FFFFFF"/>
                    </w:rPr>
                    <w:t>ir atnaujins  organizacinius ir techninius reikalavimus, taikomus kibernetinio saugumo subjektams.</w:t>
                  </w:r>
                  <w:r w:rsidR="00251282" w:rsidRPr="00507299">
                    <w:rPr>
                      <w:bCs/>
                      <w:iCs/>
                      <w:color w:val="000000"/>
                      <w:szCs w:val="24"/>
                      <w:shd w:val="clear" w:color="auto" w:fill="FFFFFF"/>
                    </w:rPr>
                    <w:t xml:space="preserve"> </w:t>
                  </w:r>
                  <w:r w:rsidR="007F7A89" w:rsidRPr="00507299">
                    <w:rPr>
                      <w:bCs/>
                      <w:iCs/>
                      <w:color w:val="000000"/>
                      <w:szCs w:val="24"/>
                      <w:shd w:val="clear" w:color="auto" w:fill="FFFFFF"/>
                    </w:rPr>
                    <w:t xml:space="preserve">Kibernetinio saugumo srityje dirbantys </w:t>
                  </w:r>
                  <w:r w:rsidR="00251282" w:rsidRPr="00507299">
                    <w:rPr>
                      <w:bCs/>
                      <w:iCs/>
                      <w:color w:val="000000"/>
                      <w:szCs w:val="24"/>
                      <w:shd w:val="clear" w:color="auto" w:fill="FFFFFF"/>
                    </w:rPr>
                    <w:t>k</w:t>
                  </w:r>
                  <w:r w:rsidR="007F7A89" w:rsidRPr="00507299">
                    <w:rPr>
                      <w:bCs/>
                      <w:iCs/>
                      <w:color w:val="000000"/>
                      <w:szCs w:val="24"/>
                      <w:shd w:val="clear" w:color="auto" w:fill="FFFFFF"/>
                    </w:rPr>
                    <w:t xml:space="preserve">rašto apsaugos ministerijos darbuotojai </w:t>
                  </w:r>
                  <w:r w:rsidR="00251282" w:rsidRPr="00507299">
                    <w:rPr>
                      <w:bCs/>
                      <w:iCs/>
                      <w:color w:val="000000"/>
                      <w:szCs w:val="24"/>
                      <w:shd w:val="clear" w:color="auto" w:fill="FFFFFF"/>
                    </w:rPr>
                    <w:t xml:space="preserve">gilins žinias ir stiprins </w:t>
                  </w:r>
                  <w:r w:rsidR="007F7A89" w:rsidRPr="00507299">
                    <w:rPr>
                      <w:bCs/>
                      <w:iCs/>
                      <w:color w:val="000000"/>
                      <w:szCs w:val="24"/>
                      <w:shd w:val="clear" w:color="auto" w:fill="FFFFFF"/>
                    </w:rPr>
                    <w:t xml:space="preserve">įgūdžius </w:t>
                  </w:r>
                  <w:r w:rsidR="00251282" w:rsidRPr="00507299">
                    <w:rPr>
                      <w:bCs/>
                      <w:iCs/>
                      <w:color w:val="000000"/>
                      <w:szCs w:val="24"/>
                      <w:shd w:val="clear" w:color="auto" w:fill="FFFFFF"/>
                    </w:rPr>
                    <w:t xml:space="preserve">informacinių technologijų ir kibernetinio saugumo srityse. </w:t>
                  </w:r>
                  <w:r w:rsidR="00251282" w:rsidRPr="00507299">
                    <w:rPr>
                      <w:bCs/>
                      <w:iCs/>
                      <w:szCs w:val="24"/>
                    </w:rPr>
                    <w:t xml:space="preserve">Siekiant užtikrinti vienodą KSS suvokimą apie informacijos saugą bei rizikų valdymą, skatinant juos laikytis visuotinai pripažintų tarptautinių standartų, bus suteikta </w:t>
                  </w:r>
                  <w:r w:rsidR="000C794A">
                    <w:rPr>
                      <w:bCs/>
                      <w:iCs/>
                      <w:szCs w:val="24"/>
                    </w:rPr>
                    <w:t xml:space="preserve">informacija bei </w:t>
                  </w:r>
                  <w:r w:rsidR="00251282" w:rsidRPr="00507299">
                    <w:rPr>
                      <w:bCs/>
                      <w:iCs/>
                      <w:szCs w:val="24"/>
                    </w:rPr>
                    <w:t>priei</w:t>
                  </w:r>
                  <w:r w:rsidR="00507299" w:rsidRPr="00507299">
                    <w:rPr>
                      <w:bCs/>
                      <w:iCs/>
                      <w:szCs w:val="24"/>
                    </w:rPr>
                    <w:t xml:space="preserve">ga prie tarptautinių </w:t>
                  </w:r>
                  <w:r w:rsidR="00507299">
                    <w:rPr>
                      <w:bCs/>
                      <w:iCs/>
                      <w:szCs w:val="24"/>
                    </w:rPr>
                    <w:t xml:space="preserve">ISO </w:t>
                  </w:r>
                  <w:r w:rsidR="00507299" w:rsidRPr="00507299">
                    <w:rPr>
                      <w:bCs/>
                      <w:iCs/>
                      <w:szCs w:val="24"/>
                    </w:rPr>
                    <w:t>standartų.</w:t>
                  </w:r>
                </w:p>
                <w:p w14:paraId="09D7B836" w14:textId="62F395EC" w:rsidR="007F7A89" w:rsidRPr="00507299" w:rsidRDefault="00251282" w:rsidP="00251282">
                  <w:pPr>
                    <w:tabs>
                      <w:tab w:val="left" w:pos="598"/>
                    </w:tabs>
                    <w:jc w:val="both"/>
                    <w:rPr>
                      <w:bCs/>
                      <w:iCs/>
                      <w:szCs w:val="24"/>
                    </w:rPr>
                  </w:pPr>
                  <w:r w:rsidRPr="00507299">
                    <w:rPr>
                      <w:bCs/>
                      <w:iCs/>
                      <w:szCs w:val="24"/>
                    </w:rPr>
                    <w:t>Į</w:t>
                  </w:r>
                  <w:r w:rsidR="007F7A89" w:rsidRPr="00507299">
                    <w:rPr>
                      <w:bCs/>
                      <w:iCs/>
                      <w:szCs w:val="24"/>
                    </w:rPr>
                    <w:t xml:space="preserve">vairiomis komunikacijos priemonėmis bus </w:t>
                  </w:r>
                  <w:r w:rsidR="007F7A89" w:rsidRPr="00507299">
                    <w:rPr>
                      <w:bCs/>
                      <w:color w:val="000000"/>
                      <w:szCs w:val="24"/>
                    </w:rPr>
                    <w:t xml:space="preserve">siekiama suteikti visuomenės nariams bazinių kibernetinių saugumo žinių ir kibernetinės higienos praktikos: atnaujinimų įdiegimo, sudėtingų slaptažodžių naudojimo, atsarginių kopijų darymo, atnaujinimo, tai daugeliu atvejų gali padėti išvengti kibernetinių atakų ir jų sukeliamos žalos. </w:t>
                  </w:r>
                </w:p>
                <w:p w14:paraId="03EAEC03" w14:textId="340175FD" w:rsidR="007F7A89" w:rsidRPr="00507299" w:rsidRDefault="00251282" w:rsidP="007F7A89">
                  <w:pPr>
                    <w:tabs>
                      <w:tab w:val="left" w:pos="598"/>
                    </w:tabs>
                    <w:jc w:val="both"/>
                    <w:rPr>
                      <w:bCs/>
                      <w:iCs/>
                      <w:szCs w:val="24"/>
                    </w:rPr>
                  </w:pPr>
                  <w:r w:rsidRPr="00507299">
                    <w:rPr>
                      <w:bCs/>
                      <w:iCs/>
                      <w:szCs w:val="24"/>
                    </w:rPr>
                    <w:t>Siekiant</w:t>
                  </w:r>
                  <w:r w:rsidR="007F7A89" w:rsidRPr="00507299">
                    <w:rPr>
                      <w:bCs/>
                      <w:iCs/>
                      <w:szCs w:val="24"/>
                    </w:rPr>
                    <w:t xml:space="preserve"> išnaudoti didesnį viešojo ir privataus sektoriaus bendradarbiavimo kibernetinio saugumo srityje potencialą</w:t>
                  </w:r>
                  <w:r w:rsidR="000C794A">
                    <w:rPr>
                      <w:bCs/>
                      <w:iCs/>
                      <w:szCs w:val="24"/>
                    </w:rPr>
                    <w:t>, bus parengtos</w:t>
                  </w:r>
                  <w:r w:rsidR="00507299" w:rsidRPr="00507299">
                    <w:rPr>
                      <w:bCs/>
                      <w:iCs/>
                      <w:szCs w:val="24"/>
                    </w:rPr>
                    <w:t xml:space="preserve"> galimos</w:t>
                  </w:r>
                  <w:r w:rsidRPr="00507299">
                    <w:rPr>
                      <w:bCs/>
                      <w:iCs/>
                      <w:szCs w:val="24"/>
                    </w:rPr>
                    <w:t xml:space="preserve"> bendradarbiavimo </w:t>
                  </w:r>
                  <w:r w:rsidR="00507299" w:rsidRPr="00507299">
                    <w:rPr>
                      <w:bCs/>
                      <w:iCs/>
                      <w:szCs w:val="24"/>
                    </w:rPr>
                    <w:t xml:space="preserve">kryptys. </w:t>
                  </w:r>
                  <w:r w:rsidRPr="00507299">
                    <w:rPr>
                      <w:bCs/>
                      <w:iCs/>
                      <w:szCs w:val="24"/>
                    </w:rPr>
                    <w:t xml:space="preserve"> </w:t>
                  </w:r>
                  <w:r w:rsidR="007F7A89" w:rsidRPr="00507299">
                    <w:rPr>
                      <w:bCs/>
                      <w:iCs/>
                      <w:szCs w:val="24"/>
                    </w:rPr>
                    <w:t xml:space="preserve"> </w:t>
                  </w:r>
                </w:p>
                <w:p w14:paraId="5D565453" w14:textId="3E04F9D0" w:rsidR="00FD1068" w:rsidRPr="00507299" w:rsidRDefault="00FD1068" w:rsidP="00FD1068">
                  <w:pPr>
                    <w:jc w:val="both"/>
                    <w:rPr>
                      <w:color w:val="000000"/>
                      <w:szCs w:val="24"/>
                    </w:rPr>
                  </w:pPr>
                  <w:r w:rsidRPr="00507299">
                    <w:rPr>
                      <w:color w:val="000000"/>
                      <w:szCs w:val="24"/>
                    </w:rPr>
                    <w:t>Tikslinė grupė – Krašto apsaugos ministerijos Kibernetinio saugumo ir informacinių technologijų politikos grupės darbuotojai</w:t>
                  </w:r>
                  <w:r w:rsidR="001D36AA" w:rsidRPr="00507299">
                    <w:rPr>
                      <w:color w:val="000000"/>
                      <w:szCs w:val="24"/>
                    </w:rPr>
                    <w:t xml:space="preserve">, kibernetinio saugumo subjektai, visuomenės nariai. </w:t>
                  </w:r>
                  <w:r w:rsidRPr="00507299">
                    <w:rPr>
                      <w:color w:val="000000"/>
                      <w:szCs w:val="24"/>
                    </w:rPr>
                    <w:t xml:space="preserve"> </w:t>
                  </w:r>
                </w:p>
                <w:p w14:paraId="6790DD96" w14:textId="41CEB61B" w:rsidR="00FD1068" w:rsidRPr="00507299" w:rsidRDefault="00FD1068" w:rsidP="00FD1068">
                  <w:pPr>
                    <w:jc w:val="both"/>
                    <w:rPr>
                      <w:color w:val="000000"/>
                      <w:szCs w:val="24"/>
                    </w:rPr>
                  </w:pPr>
                  <w:r w:rsidRPr="00507299">
                    <w:rPr>
                      <w:color w:val="000000"/>
                      <w:szCs w:val="24"/>
                    </w:rPr>
                    <w:t>Projektų vykdytoja</w:t>
                  </w:r>
                  <w:r w:rsidR="00ED1E89" w:rsidRPr="00507299">
                    <w:rPr>
                      <w:color w:val="000000"/>
                      <w:szCs w:val="24"/>
                    </w:rPr>
                    <w:t>s</w:t>
                  </w:r>
                  <w:r w:rsidRPr="00507299">
                    <w:rPr>
                      <w:color w:val="000000"/>
                      <w:szCs w:val="24"/>
                    </w:rPr>
                    <w:t xml:space="preserve"> – Krašto apsaugos ministerija. </w:t>
                  </w:r>
                </w:p>
                <w:p w14:paraId="5FC5CF96" w14:textId="2F0BB275" w:rsidR="00FD1068" w:rsidRPr="00507299" w:rsidRDefault="00FD1068" w:rsidP="00FD1068">
                  <w:pPr>
                    <w:jc w:val="both"/>
                    <w:rPr>
                      <w:i/>
                      <w:color w:val="000000"/>
                      <w:szCs w:val="24"/>
                    </w:rPr>
                  </w:pPr>
                  <w:r w:rsidRPr="00507299">
                    <w:rPr>
                      <w:color w:val="000000"/>
                      <w:szCs w:val="24"/>
                    </w:rPr>
                    <w:t>Siekiami rezultatai: šia veikla siekiama prisidėti prie problemos priežas</w:t>
                  </w:r>
                  <w:r w:rsidR="001D36AA" w:rsidRPr="00507299">
                    <w:rPr>
                      <w:color w:val="000000"/>
                      <w:szCs w:val="24"/>
                    </w:rPr>
                    <w:t>čių:</w:t>
                  </w:r>
                  <w:r w:rsidRPr="00507299">
                    <w:rPr>
                      <w:color w:val="000000"/>
                      <w:szCs w:val="24"/>
                    </w:rPr>
                    <w:t xml:space="preserve"> </w:t>
                  </w:r>
                  <w:r w:rsidRPr="00507299">
                    <w:rPr>
                      <w:i/>
                      <w:color w:val="000000"/>
                      <w:szCs w:val="24"/>
                    </w:rPr>
                    <w:t>1.1. Plečiantis kibernetinio saugumo taikymo sričiai trūksta kibernetinio saugumo politikos įgyvendinimo procese dalyvaujančių suinteresuotųjų subjektų</w:t>
                  </w:r>
                  <w:r w:rsidR="001D36AA" w:rsidRPr="00507299">
                    <w:rPr>
                      <w:color w:val="000000"/>
                      <w:szCs w:val="24"/>
                    </w:rPr>
                    <w:t xml:space="preserve">; </w:t>
                  </w:r>
                  <w:r w:rsidR="007F7A89" w:rsidRPr="00507299">
                    <w:rPr>
                      <w:i/>
                      <w:color w:val="000000"/>
                      <w:szCs w:val="24"/>
                    </w:rPr>
                    <w:t xml:space="preserve"> 1.3. Skirtingai taikomos kibernetinio atsparumo priemonės viešajame sektoriuje</w:t>
                  </w:r>
                  <w:r w:rsidR="001D36AA" w:rsidRPr="00507299">
                    <w:rPr>
                      <w:color w:val="000000"/>
                      <w:szCs w:val="24"/>
                    </w:rPr>
                    <w:t xml:space="preserve">; </w:t>
                  </w:r>
                  <w:r w:rsidR="007F7A89" w:rsidRPr="00507299">
                    <w:rPr>
                      <w:i/>
                      <w:color w:val="000000"/>
                      <w:szCs w:val="24"/>
                    </w:rPr>
                    <w:t xml:space="preserve"> 3. Žemas visuomenės ir smulkaus bei vidutinio verslo žinių kibernetinio saugumo srityje lygis ir praktiniai gebėjimai jas pritaikyti</w:t>
                  </w:r>
                  <w:r w:rsidR="001D36AA" w:rsidRPr="00507299">
                    <w:rPr>
                      <w:i/>
                      <w:color w:val="000000"/>
                      <w:szCs w:val="24"/>
                    </w:rPr>
                    <w:t xml:space="preserve"> ir </w:t>
                  </w:r>
                  <w:r w:rsidR="007F7A89" w:rsidRPr="00507299">
                    <w:rPr>
                      <w:i/>
                      <w:color w:val="000000"/>
                      <w:szCs w:val="24"/>
                    </w:rPr>
                    <w:t xml:space="preserve">4. Nenustatytos viešojo ir privataus sektoriaus bendradarbiavimo kryptys </w:t>
                  </w:r>
                  <w:r w:rsidR="007F7A89" w:rsidRPr="00507299">
                    <w:rPr>
                      <w:color w:val="000000"/>
                      <w:szCs w:val="24"/>
                    </w:rPr>
                    <w:t>šalinimo.</w:t>
                  </w:r>
                </w:p>
                <w:p w14:paraId="671B84EA" w14:textId="39C74F26" w:rsidR="00FD1068" w:rsidRPr="000C794A" w:rsidRDefault="00FD1068" w:rsidP="00FD1068">
                  <w:pPr>
                    <w:jc w:val="both"/>
                    <w:rPr>
                      <w:color w:val="000000"/>
                      <w:szCs w:val="24"/>
                    </w:rPr>
                  </w:pPr>
                  <w:r w:rsidRPr="00507299">
                    <w:rPr>
                      <w:color w:val="000000"/>
                      <w:szCs w:val="24"/>
                    </w:rPr>
                    <w:t xml:space="preserve">Finansavimo apimtis </w:t>
                  </w:r>
                  <w:r w:rsidRPr="000C794A">
                    <w:rPr>
                      <w:color w:val="000000"/>
                      <w:szCs w:val="24"/>
                    </w:rPr>
                    <w:t xml:space="preserve">– </w:t>
                  </w:r>
                  <w:r w:rsidR="00103E1D" w:rsidRPr="000C794A">
                    <w:rPr>
                      <w:color w:val="000000"/>
                      <w:szCs w:val="24"/>
                    </w:rPr>
                    <w:t>2057</w:t>
                  </w:r>
                  <w:r w:rsidR="001D36AA" w:rsidRPr="000C794A">
                    <w:rPr>
                      <w:color w:val="000000"/>
                      <w:szCs w:val="24"/>
                    </w:rPr>
                    <w:t xml:space="preserve">, </w:t>
                  </w:r>
                  <w:r w:rsidR="00103E1D" w:rsidRPr="000C794A">
                    <w:rPr>
                      <w:color w:val="000000"/>
                      <w:szCs w:val="24"/>
                    </w:rPr>
                    <w:t>000</w:t>
                  </w:r>
                  <w:r w:rsidRPr="000C794A">
                    <w:rPr>
                      <w:color w:val="000000"/>
                      <w:szCs w:val="24"/>
                    </w:rPr>
                    <w:t xml:space="preserve"> tūkst. Eur. </w:t>
                  </w:r>
                </w:p>
                <w:p w14:paraId="5AEF7806" w14:textId="33615647" w:rsidR="00FD1068" w:rsidRPr="00507299" w:rsidRDefault="00FD1068" w:rsidP="007F7A89">
                  <w:pPr>
                    <w:jc w:val="both"/>
                    <w:rPr>
                      <w:b/>
                      <w:color w:val="000000"/>
                      <w:szCs w:val="24"/>
                      <w:u w:val="single"/>
                    </w:rPr>
                  </w:pPr>
                  <w:r w:rsidRPr="000C794A">
                    <w:rPr>
                      <w:color w:val="000000"/>
                      <w:szCs w:val="24"/>
                    </w:rPr>
                    <w:t>Finansavimo forma – dotacija.</w:t>
                  </w:r>
                  <w:r w:rsidRPr="00507299">
                    <w:rPr>
                      <w:b/>
                      <w:color w:val="000000"/>
                      <w:szCs w:val="24"/>
                      <w:u w:val="single"/>
                    </w:rPr>
                    <w:t xml:space="preserve"> </w:t>
                  </w:r>
                </w:p>
              </w:tc>
              <w:tc>
                <w:tcPr>
                  <w:tcW w:w="1418" w:type="dxa"/>
                </w:tcPr>
                <w:p w14:paraId="1988D0C8" w14:textId="77777777" w:rsidR="00FD1068" w:rsidRPr="00507299" w:rsidRDefault="00FD1068" w:rsidP="007244BF">
                  <w:pPr>
                    <w:rPr>
                      <w:color w:val="000000"/>
                      <w:szCs w:val="24"/>
                    </w:rPr>
                  </w:pPr>
                  <w:r w:rsidRPr="00507299">
                    <w:rPr>
                      <w:color w:val="000000"/>
                      <w:szCs w:val="24"/>
                    </w:rPr>
                    <w:t>1.1.</w:t>
                  </w:r>
                </w:p>
                <w:p w14:paraId="30BE3637" w14:textId="77777777" w:rsidR="00FD1068" w:rsidRPr="00507299" w:rsidRDefault="00FD1068" w:rsidP="007244BF">
                  <w:pPr>
                    <w:rPr>
                      <w:color w:val="000000"/>
                      <w:szCs w:val="24"/>
                    </w:rPr>
                  </w:pPr>
                </w:p>
                <w:p w14:paraId="0C32A03E" w14:textId="77777777" w:rsidR="00FD1068" w:rsidRPr="00507299" w:rsidRDefault="00FD1068" w:rsidP="007244BF">
                  <w:pPr>
                    <w:rPr>
                      <w:color w:val="000000"/>
                      <w:szCs w:val="24"/>
                    </w:rPr>
                  </w:pPr>
                  <w:r w:rsidRPr="00507299">
                    <w:rPr>
                      <w:color w:val="000000"/>
                      <w:szCs w:val="24"/>
                    </w:rPr>
                    <w:t>1.2.</w:t>
                  </w:r>
                </w:p>
                <w:p w14:paraId="30A32CE1" w14:textId="77777777" w:rsidR="00FD1068" w:rsidRPr="00507299" w:rsidRDefault="00FD1068" w:rsidP="007244BF">
                  <w:pPr>
                    <w:rPr>
                      <w:color w:val="000000"/>
                      <w:szCs w:val="24"/>
                    </w:rPr>
                  </w:pPr>
                </w:p>
                <w:p w14:paraId="798A2F51" w14:textId="2FD560A2" w:rsidR="00FD1068" w:rsidRPr="00507299" w:rsidRDefault="00FD1068" w:rsidP="007244BF">
                  <w:pPr>
                    <w:rPr>
                      <w:color w:val="000000"/>
                      <w:szCs w:val="24"/>
                    </w:rPr>
                  </w:pPr>
                  <w:r w:rsidRPr="00507299">
                    <w:rPr>
                      <w:color w:val="000000"/>
                      <w:szCs w:val="24"/>
                    </w:rPr>
                    <w:t>1.3.1</w:t>
                  </w:r>
                  <w:r w:rsidR="007244BF" w:rsidRPr="00507299">
                    <w:rPr>
                      <w:color w:val="000000"/>
                      <w:szCs w:val="24"/>
                    </w:rPr>
                    <w:t>.</w:t>
                  </w:r>
                </w:p>
                <w:p w14:paraId="2F0247E4" w14:textId="77777777" w:rsidR="00FD1068" w:rsidRPr="00507299" w:rsidRDefault="00FD1068" w:rsidP="007244BF">
                  <w:pPr>
                    <w:rPr>
                      <w:color w:val="000000"/>
                      <w:szCs w:val="24"/>
                    </w:rPr>
                  </w:pPr>
                </w:p>
                <w:p w14:paraId="30ACCEF7" w14:textId="787064B5" w:rsidR="00FD1068" w:rsidRPr="00507299" w:rsidRDefault="00FD1068" w:rsidP="007244BF">
                  <w:pPr>
                    <w:rPr>
                      <w:color w:val="000000"/>
                      <w:szCs w:val="24"/>
                    </w:rPr>
                  </w:pPr>
                  <w:r w:rsidRPr="00507299">
                    <w:rPr>
                      <w:color w:val="000000"/>
                      <w:szCs w:val="24"/>
                    </w:rPr>
                    <w:t>1.5.</w:t>
                  </w:r>
                </w:p>
                <w:p w14:paraId="467E9436" w14:textId="77777777" w:rsidR="001D36AA" w:rsidRPr="00507299" w:rsidRDefault="001D36AA" w:rsidP="007244BF">
                  <w:pPr>
                    <w:rPr>
                      <w:color w:val="000000"/>
                      <w:szCs w:val="24"/>
                    </w:rPr>
                  </w:pPr>
                </w:p>
                <w:p w14:paraId="697C0F6D" w14:textId="77834006" w:rsidR="001D36AA" w:rsidRPr="00507299" w:rsidRDefault="001D36AA" w:rsidP="007244BF">
                  <w:pPr>
                    <w:rPr>
                      <w:color w:val="000000"/>
                      <w:szCs w:val="24"/>
                    </w:rPr>
                  </w:pPr>
                  <w:r w:rsidRPr="00507299">
                    <w:rPr>
                      <w:color w:val="000000"/>
                      <w:szCs w:val="24"/>
                    </w:rPr>
                    <w:t>3.1</w:t>
                  </w:r>
                  <w:r w:rsidR="007244BF" w:rsidRPr="00507299">
                    <w:rPr>
                      <w:color w:val="000000"/>
                      <w:szCs w:val="24"/>
                    </w:rPr>
                    <w:t>.</w:t>
                  </w:r>
                </w:p>
                <w:p w14:paraId="5826FD90" w14:textId="77777777" w:rsidR="00251282" w:rsidRPr="00507299" w:rsidRDefault="00251282" w:rsidP="007244BF">
                  <w:pPr>
                    <w:rPr>
                      <w:color w:val="000000"/>
                      <w:szCs w:val="24"/>
                    </w:rPr>
                  </w:pPr>
                </w:p>
                <w:p w14:paraId="7B7ECC24" w14:textId="4936F1CD" w:rsidR="00FD1068" w:rsidRPr="00507299" w:rsidRDefault="00FD1068" w:rsidP="007244BF">
                  <w:pPr>
                    <w:rPr>
                      <w:color w:val="000000"/>
                      <w:szCs w:val="24"/>
                    </w:rPr>
                  </w:pPr>
                  <w:r w:rsidRPr="00507299">
                    <w:rPr>
                      <w:color w:val="000000"/>
                      <w:szCs w:val="24"/>
                    </w:rPr>
                    <w:t>4.</w:t>
                  </w:r>
                </w:p>
                <w:p w14:paraId="0D3A3036" w14:textId="77777777" w:rsidR="00FD1068" w:rsidRPr="00507299" w:rsidRDefault="00FD1068" w:rsidP="007244BF">
                  <w:pPr>
                    <w:rPr>
                      <w:color w:val="000000"/>
                      <w:szCs w:val="24"/>
                    </w:rPr>
                  </w:pPr>
                </w:p>
                <w:p w14:paraId="0C583840" w14:textId="77777777" w:rsidR="00FD1068" w:rsidRPr="00507299" w:rsidRDefault="00FD1068" w:rsidP="00FD1068">
                  <w:pPr>
                    <w:jc w:val="center"/>
                    <w:rPr>
                      <w:color w:val="000000"/>
                      <w:szCs w:val="24"/>
                    </w:rPr>
                  </w:pPr>
                </w:p>
                <w:p w14:paraId="2F729E4E" w14:textId="77777777" w:rsidR="00FD1068" w:rsidRPr="00507299" w:rsidRDefault="00FD1068" w:rsidP="00FD1068">
                  <w:pPr>
                    <w:jc w:val="center"/>
                    <w:rPr>
                      <w:color w:val="000000"/>
                      <w:szCs w:val="24"/>
                    </w:rPr>
                  </w:pPr>
                </w:p>
                <w:p w14:paraId="4815B8AE" w14:textId="77777777" w:rsidR="00FD1068" w:rsidRPr="00507299" w:rsidRDefault="00FD1068" w:rsidP="00FD1068">
                  <w:pPr>
                    <w:jc w:val="both"/>
                    <w:rPr>
                      <w:b/>
                      <w:iCs/>
                      <w:szCs w:val="24"/>
                      <w:u w:val="single"/>
                    </w:rPr>
                  </w:pPr>
                </w:p>
              </w:tc>
            </w:tr>
            <w:tr w:rsidR="00FD1068" w:rsidRPr="00507299" w14:paraId="2C5DC862" w14:textId="2EF64426" w:rsidTr="00A32A3E">
              <w:trPr>
                <w:jc w:val="center"/>
              </w:trPr>
              <w:tc>
                <w:tcPr>
                  <w:tcW w:w="7957" w:type="dxa"/>
                </w:tcPr>
                <w:p w14:paraId="06AA6FF3" w14:textId="77777777" w:rsidR="00FD1068" w:rsidRPr="00507299" w:rsidRDefault="00FD1068" w:rsidP="00FD1068">
                  <w:pPr>
                    <w:jc w:val="both"/>
                    <w:rPr>
                      <w:b/>
                      <w:color w:val="000000"/>
                      <w:szCs w:val="24"/>
                      <w:u w:val="single"/>
                    </w:rPr>
                  </w:pPr>
                  <w:r w:rsidRPr="00507299">
                    <w:rPr>
                      <w:b/>
                      <w:color w:val="000000"/>
                      <w:szCs w:val="24"/>
                      <w:u w:val="single"/>
                    </w:rPr>
                    <w:t>8. Nacionalinio koordinavimo centro funkcijų vykdymas</w:t>
                  </w:r>
                </w:p>
                <w:p w14:paraId="53957147" w14:textId="77777777" w:rsidR="00FD1068" w:rsidRPr="00507299" w:rsidRDefault="00FD1068" w:rsidP="00FD1068">
                  <w:pPr>
                    <w:tabs>
                      <w:tab w:val="left" w:pos="598"/>
                    </w:tabs>
                    <w:jc w:val="both"/>
                    <w:rPr>
                      <w:bCs/>
                      <w:iCs/>
                      <w:szCs w:val="24"/>
                    </w:rPr>
                  </w:pPr>
                  <w:r w:rsidRPr="00507299">
                    <w:rPr>
                      <w:bCs/>
                      <w:iCs/>
                      <w:szCs w:val="24"/>
                    </w:rPr>
                    <w:t xml:space="preserve">Trumpas veiklos aprašymas: bus kuriama aktyvi kibernetinio saugumo bendruomenė. </w:t>
                  </w:r>
                </w:p>
                <w:p w14:paraId="27278CE2" w14:textId="77777777" w:rsidR="00FD1068" w:rsidRPr="00507299" w:rsidRDefault="00FD1068" w:rsidP="00FD1068">
                  <w:pPr>
                    <w:tabs>
                      <w:tab w:val="left" w:pos="598"/>
                    </w:tabs>
                    <w:jc w:val="both"/>
                    <w:rPr>
                      <w:bCs/>
                      <w:iCs/>
                      <w:szCs w:val="24"/>
                    </w:rPr>
                  </w:pPr>
                  <w:r w:rsidRPr="00507299">
                    <w:rPr>
                      <w:bCs/>
                      <w:iCs/>
                      <w:szCs w:val="24"/>
                    </w:rPr>
                    <w:t xml:space="preserve">Tikslinės grupės: dalyviai iš įvairių sričių ir sektorių (akademinė bendruomenė, pramonės sektorius, mažos ir individualios įmonės, viešojo sektoriaus subjektai ir pan.). </w:t>
                  </w:r>
                </w:p>
                <w:p w14:paraId="335476A5" w14:textId="77777777" w:rsidR="00FD1068" w:rsidRPr="00507299" w:rsidRDefault="00FD1068" w:rsidP="00FD1068">
                  <w:pPr>
                    <w:tabs>
                      <w:tab w:val="left" w:pos="598"/>
                    </w:tabs>
                    <w:jc w:val="both"/>
                    <w:rPr>
                      <w:szCs w:val="24"/>
                    </w:rPr>
                  </w:pPr>
                  <w:r w:rsidRPr="00507299">
                    <w:rPr>
                      <w:szCs w:val="24"/>
                    </w:rPr>
                    <w:t>Projektų vykdytojas –</w:t>
                  </w:r>
                  <w:r w:rsidRPr="00507299">
                    <w:rPr>
                      <w:b/>
                      <w:szCs w:val="24"/>
                    </w:rPr>
                    <w:t xml:space="preserve"> </w:t>
                  </w:r>
                  <w:r w:rsidRPr="00507299">
                    <w:rPr>
                      <w:szCs w:val="24"/>
                    </w:rPr>
                    <w:t>Nacionalinis koordinavimo</w:t>
                  </w:r>
                  <w:r w:rsidRPr="00507299">
                    <w:rPr>
                      <w:b/>
                      <w:szCs w:val="24"/>
                    </w:rPr>
                    <w:t xml:space="preserve"> </w:t>
                  </w:r>
                  <w:r w:rsidRPr="00507299">
                    <w:rPr>
                      <w:szCs w:val="24"/>
                    </w:rPr>
                    <w:t xml:space="preserve">centras (toliau – NKC). </w:t>
                  </w:r>
                </w:p>
                <w:p w14:paraId="4A5868CA" w14:textId="77777777" w:rsidR="00FD1068" w:rsidRPr="00507299" w:rsidRDefault="00FD1068" w:rsidP="00FD1068">
                  <w:pPr>
                    <w:tabs>
                      <w:tab w:val="left" w:pos="310"/>
                    </w:tabs>
                    <w:jc w:val="both"/>
                    <w:rPr>
                      <w:i/>
                      <w:szCs w:val="24"/>
                    </w:rPr>
                  </w:pPr>
                  <w:r w:rsidRPr="00507299">
                    <w:rPr>
                      <w:szCs w:val="24"/>
                    </w:rPr>
                    <w:t>Siekiami rezultatai: šia veikla siekiama prisidėti prie problemos priežasties</w:t>
                  </w:r>
                  <w:r w:rsidRPr="00507299">
                    <w:rPr>
                      <w:rFonts w:eastAsia="Calibri"/>
                      <w:bCs/>
                      <w:szCs w:val="24"/>
                    </w:rPr>
                    <w:t xml:space="preserve"> </w:t>
                  </w:r>
                  <w:r w:rsidRPr="00507299">
                    <w:rPr>
                      <w:rFonts w:eastAsia="Calibri"/>
                      <w:bCs/>
                      <w:i/>
                      <w:szCs w:val="24"/>
                    </w:rPr>
                    <w:t>4. </w:t>
                  </w:r>
                  <w:r w:rsidRPr="00507299">
                    <w:rPr>
                      <w:i/>
                      <w:szCs w:val="24"/>
                    </w:rPr>
                    <w:t>Nenustatytos viešojo ir privataus sektoriaus bendradarbiavimo kryptys šalinimo.</w:t>
                  </w:r>
                </w:p>
                <w:p w14:paraId="3CB8E6D9" w14:textId="77777777" w:rsidR="00FD1068" w:rsidRPr="00507299" w:rsidRDefault="00FD1068" w:rsidP="00FD1068">
                  <w:pPr>
                    <w:tabs>
                      <w:tab w:val="left" w:pos="598"/>
                    </w:tabs>
                    <w:jc w:val="both"/>
                    <w:rPr>
                      <w:szCs w:val="24"/>
                    </w:rPr>
                  </w:pPr>
                  <w:r w:rsidRPr="00507299">
                    <w:rPr>
                      <w:szCs w:val="24"/>
                    </w:rPr>
                    <w:t>Finansavimo apimtis –</w:t>
                  </w:r>
                  <w:r w:rsidRPr="00507299">
                    <w:rPr>
                      <w:b/>
                      <w:szCs w:val="24"/>
                    </w:rPr>
                    <w:t xml:space="preserve"> </w:t>
                  </w:r>
                  <w:r w:rsidRPr="00507299">
                    <w:rPr>
                      <w:szCs w:val="24"/>
                    </w:rPr>
                    <w:t xml:space="preserve">1754,18 tūkst. Eur.   </w:t>
                  </w:r>
                </w:p>
                <w:p w14:paraId="6E862C48" w14:textId="21C70157" w:rsidR="00FD1068" w:rsidRPr="00507299" w:rsidRDefault="00FD1068" w:rsidP="00ED1E89">
                  <w:pPr>
                    <w:jc w:val="both"/>
                    <w:rPr>
                      <w:color w:val="000000"/>
                      <w:szCs w:val="24"/>
                      <w:u w:val="single"/>
                    </w:rPr>
                  </w:pPr>
                  <w:r w:rsidRPr="00507299">
                    <w:rPr>
                      <w:szCs w:val="24"/>
                    </w:rPr>
                    <w:t>Finansavimo forma – dotacija.</w:t>
                  </w:r>
                </w:p>
              </w:tc>
              <w:tc>
                <w:tcPr>
                  <w:tcW w:w="1418" w:type="dxa"/>
                </w:tcPr>
                <w:p w14:paraId="38A13CB9" w14:textId="4002671A" w:rsidR="00FD1068" w:rsidRPr="00507299" w:rsidRDefault="00FD1068" w:rsidP="00FD1068">
                  <w:pPr>
                    <w:jc w:val="both"/>
                    <w:rPr>
                      <w:b/>
                      <w:color w:val="000000"/>
                      <w:szCs w:val="24"/>
                      <w:u w:val="single"/>
                    </w:rPr>
                  </w:pPr>
                  <w:r w:rsidRPr="00507299">
                    <w:rPr>
                      <w:color w:val="000000"/>
                      <w:szCs w:val="24"/>
                    </w:rPr>
                    <w:t>3.1.</w:t>
                  </w:r>
                </w:p>
              </w:tc>
            </w:tr>
            <w:tr w:rsidR="00FD1068" w:rsidRPr="00507299" w14:paraId="33A17BAC" w14:textId="1CA353A9" w:rsidTr="00A32A3E">
              <w:trPr>
                <w:jc w:val="center"/>
              </w:trPr>
              <w:tc>
                <w:tcPr>
                  <w:tcW w:w="7957" w:type="dxa"/>
                </w:tcPr>
                <w:p w14:paraId="700D44AF" w14:textId="2714413E" w:rsidR="00FD1068" w:rsidRPr="00507299" w:rsidRDefault="00FD1068" w:rsidP="00FD1068">
                  <w:pPr>
                    <w:jc w:val="both"/>
                    <w:rPr>
                      <w:b/>
                      <w:color w:val="000000"/>
                      <w:szCs w:val="24"/>
                      <w:u w:val="single"/>
                    </w:rPr>
                  </w:pPr>
                  <w:r w:rsidRPr="00507299">
                    <w:rPr>
                      <w:b/>
                      <w:color w:val="000000"/>
                      <w:szCs w:val="24"/>
                      <w:u w:val="single"/>
                    </w:rPr>
                    <w:t>9. Kibernetinio saugumo atsparumo didinimas</w:t>
                  </w:r>
                </w:p>
                <w:p w14:paraId="21C1F694" w14:textId="3803D58B" w:rsidR="00FD1068" w:rsidRPr="00507299" w:rsidRDefault="00FD1068" w:rsidP="00FD1068">
                  <w:pPr>
                    <w:tabs>
                      <w:tab w:val="left" w:pos="598"/>
                    </w:tabs>
                    <w:jc w:val="both"/>
                    <w:rPr>
                      <w:bCs/>
                      <w:iCs/>
                      <w:szCs w:val="24"/>
                      <w:lang w:val="en-US"/>
                    </w:rPr>
                  </w:pPr>
                  <w:r w:rsidRPr="00507299">
                    <w:rPr>
                      <w:bCs/>
                      <w:iCs/>
                      <w:szCs w:val="24"/>
                    </w:rPr>
                    <w:t>Trumpas veiklos aprašymas: bus suteikta pagalba labai mažoms, mažoms ir vidutinėms  įmonėms įsigyjant reikalingiausius kibernetinio saugumo produktus, taip padidinant kibernetinį atsparumą, padedama joms įgyvendinti TIS2 reikalavimus, taip pat bus kuriamas turinys neformaliam švietimui kibernetinio saugumo tema.</w:t>
                  </w:r>
                </w:p>
                <w:p w14:paraId="4D5C1302" w14:textId="0742B23A" w:rsidR="00FD1068" w:rsidRPr="00507299" w:rsidRDefault="00FD1068" w:rsidP="00FD1068">
                  <w:pPr>
                    <w:tabs>
                      <w:tab w:val="left" w:pos="598"/>
                    </w:tabs>
                    <w:jc w:val="both"/>
                    <w:rPr>
                      <w:bCs/>
                      <w:iCs/>
                      <w:szCs w:val="24"/>
                    </w:rPr>
                  </w:pPr>
                  <w:r w:rsidRPr="00507299">
                    <w:rPr>
                      <w:bCs/>
                      <w:iCs/>
                      <w:szCs w:val="24"/>
                    </w:rPr>
                    <w:lastRenderedPageBreak/>
                    <w:t xml:space="preserve">Tikslinės grupės: labai mažos, mažos ir vidutinės įmonės, moksleiviai ir studentai. </w:t>
                  </w:r>
                </w:p>
                <w:p w14:paraId="605202B3" w14:textId="7761E6FD" w:rsidR="00FD1068" w:rsidRPr="00507299" w:rsidRDefault="00FD1068" w:rsidP="00FD1068">
                  <w:pPr>
                    <w:tabs>
                      <w:tab w:val="left" w:pos="598"/>
                    </w:tabs>
                    <w:jc w:val="both"/>
                    <w:rPr>
                      <w:szCs w:val="24"/>
                    </w:rPr>
                  </w:pPr>
                  <w:r w:rsidRPr="00507299">
                    <w:rPr>
                      <w:szCs w:val="24"/>
                    </w:rPr>
                    <w:t>Projektų vykdytojos –</w:t>
                  </w:r>
                  <w:r w:rsidRPr="00507299">
                    <w:rPr>
                      <w:b/>
                      <w:szCs w:val="24"/>
                    </w:rPr>
                    <w:t xml:space="preserve"> </w:t>
                  </w:r>
                  <w:r w:rsidRPr="00507299">
                    <w:rPr>
                      <w:bCs/>
                      <w:iCs/>
                      <w:szCs w:val="24"/>
                    </w:rPr>
                    <w:t>labai mažos, mažos ir vidutinės įmonės.</w:t>
                  </w:r>
                </w:p>
                <w:p w14:paraId="453E781A" w14:textId="0A8D47C8" w:rsidR="00FD1068" w:rsidRPr="00507299" w:rsidRDefault="00FD1068" w:rsidP="00FD1068">
                  <w:pPr>
                    <w:ind w:left="28" w:hanging="28"/>
                    <w:jc w:val="both"/>
                    <w:rPr>
                      <w:rFonts w:eastAsia="Calibri"/>
                      <w:bCs/>
                      <w:i/>
                      <w:szCs w:val="24"/>
                    </w:rPr>
                  </w:pPr>
                  <w:r w:rsidRPr="00507299">
                    <w:rPr>
                      <w:szCs w:val="24"/>
                    </w:rPr>
                    <w:t xml:space="preserve">Siekiami rezultatai: šia veikla siekiama prisidėti prie problemos priežasties </w:t>
                  </w:r>
                  <w:r w:rsidRPr="00507299">
                    <w:rPr>
                      <w:rFonts w:eastAsia="Calibri"/>
                      <w:i/>
                      <w:szCs w:val="24"/>
                    </w:rPr>
                    <w:t>4. Nenustatytos viešojo ir privataus sektoriaus bendradarbiavimo kryptys</w:t>
                  </w:r>
                  <w:r w:rsidRPr="00507299">
                    <w:rPr>
                      <w:szCs w:val="24"/>
                    </w:rPr>
                    <w:t xml:space="preserve"> šalinimo.</w:t>
                  </w:r>
                </w:p>
                <w:p w14:paraId="08924694" w14:textId="69077628" w:rsidR="00FD1068" w:rsidRPr="00507299" w:rsidRDefault="00FD1068" w:rsidP="00FD1068">
                  <w:pPr>
                    <w:tabs>
                      <w:tab w:val="left" w:pos="598"/>
                    </w:tabs>
                    <w:jc w:val="both"/>
                    <w:rPr>
                      <w:szCs w:val="24"/>
                    </w:rPr>
                  </w:pPr>
                  <w:r w:rsidRPr="00507299">
                    <w:rPr>
                      <w:szCs w:val="24"/>
                    </w:rPr>
                    <w:t>Finansavimo apimtis –</w:t>
                  </w:r>
                  <w:r w:rsidRPr="00507299">
                    <w:rPr>
                      <w:b/>
                      <w:szCs w:val="24"/>
                    </w:rPr>
                    <w:t xml:space="preserve"> </w:t>
                  </w:r>
                  <w:r w:rsidRPr="00507299">
                    <w:rPr>
                      <w:szCs w:val="24"/>
                    </w:rPr>
                    <w:t xml:space="preserve">1980, 00 tūkst. Eur </w:t>
                  </w:r>
                </w:p>
                <w:p w14:paraId="632593BC" w14:textId="5E4CC6B4" w:rsidR="00FD1068" w:rsidRPr="00507299" w:rsidRDefault="00FD1068" w:rsidP="00FD1068">
                  <w:pPr>
                    <w:jc w:val="both"/>
                    <w:rPr>
                      <w:color w:val="000000"/>
                      <w:szCs w:val="24"/>
                      <w:u w:val="single"/>
                    </w:rPr>
                  </w:pPr>
                  <w:r w:rsidRPr="00507299">
                    <w:rPr>
                      <w:szCs w:val="24"/>
                    </w:rPr>
                    <w:t>Finansavimo forma</w:t>
                  </w:r>
                  <w:r w:rsidRPr="00507299">
                    <w:rPr>
                      <w:b/>
                      <w:szCs w:val="24"/>
                    </w:rPr>
                    <w:t xml:space="preserve"> - </w:t>
                  </w:r>
                  <w:r w:rsidRPr="00507299">
                    <w:rPr>
                      <w:szCs w:val="24"/>
                    </w:rPr>
                    <w:t>dotacija</w:t>
                  </w:r>
                </w:p>
              </w:tc>
              <w:tc>
                <w:tcPr>
                  <w:tcW w:w="1418" w:type="dxa"/>
                </w:tcPr>
                <w:p w14:paraId="40CD34B0" w14:textId="049CC277" w:rsidR="00FD1068" w:rsidRPr="00507299" w:rsidRDefault="00FD1068" w:rsidP="00FD1068">
                  <w:pPr>
                    <w:jc w:val="both"/>
                    <w:rPr>
                      <w:b/>
                      <w:color w:val="000000"/>
                      <w:szCs w:val="24"/>
                      <w:u w:val="single"/>
                    </w:rPr>
                  </w:pPr>
                  <w:r w:rsidRPr="00507299">
                    <w:rPr>
                      <w:color w:val="000000"/>
                      <w:szCs w:val="24"/>
                    </w:rPr>
                    <w:lastRenderedPageBreak/>
                    <w:t>3.2.</w:t>
                  </w:r>
                </w:p>
              </w:tc>
            </w:tr>
          </w:tbl>
          <w:p w14:paraId="181D31C2" w14:textId="27FA22C8" w:rsidR="00A13816" w:rsidRPr="00507299" w:rsidRDefault="00A13816" w:rsidP="0008006B">
            <w:pPr>
              <w:tabs>
                <w:tab w:val="left" w:pos="598"/>
              </w:tabs>
              <w:jc w:val="both"/>
              <w:rPr>
                <w:i/>
                <w:color w:val="808080"/>
                <w:szCs w:val="24"/>
              </w:rPr>
            </w:pPr>
          </w:p>
        </w:tc>
      </w:tr>
    </w:tbl>
    <w:p w14:paraId="5FA2F280" w14:textId="77777777" w:rsidR="002E0D17" w:rsidRPr="00974F0F" w:rsidRDefault="002E0D17">
      <w:pPr>
        <w:ind w:left="1080"/>
        <w:jc w:val="center"/>
        <w:rPr>
          <w:b/>
          <w:bCs/>
          <w:szCs w:val="24"/>
        </w:rPr>
      </w:pPr>
    </w:p>
    <w:p w14:paraId="074834BF" w14:textId="78A1518C" w:rsidR="00A13816" w:rsidRPr="00974F0F" w:rsidRDefault="00A13816" w:rsidP="00E0669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3816" w:rsidRPr="00974F0F" w14:paraId="5C304D02" w14:textId="77777777">
        <w:tc>
          <w:tcPr>
            <w:tcW w:w="9818" w:type="dxa"/>
            <w:shd w:val="clear" w:color="auto" w:fill="DBE5F1" w:themeFill="accent1" w:themeFillTint="33"/>
          </w:tcPr>
          <w:p w14:paraId="781C2819" w14:textId="77777777" w:rsidR="00A13816" w:rsidRPr="00974F0F" w:rsidRDefault="00020307">
            <w:pPr>
              <w:keepNext/>
              <w:keepLines/>
              <w:jc w:val="center"/>
              <w:outlineLvl w:val="2"/>
              <w:rPr>
                <w:b/>
                <w:szCs w:val="24"/>
              </w:rPr>
            </w:pPr>
            <w:r w:rsidRPr="00974F0F">
              <w:rPr>
                <w:b/>
                <w:szCs w:val="24"/>
              </w:rPr>
              <w:t>ANTRASIS SKIRSNIS</w:t>
            </w:r>
          </w:p>
          <w:p w14:paraId="6B3B476F" w14:textId="77777777" w:rsidR="00A13816" w:rsidRPr="00974F0F" w:rsidRDefault="00020307">
            <w:pPr>
              <w:keepNext/>
              <w:keepLines/>
              <w:jc w:val="center"/>
              <w:outlineLvl w:val="2"/>
              <w:rPr>
                <w:b/>
                <w:caps/>
                <w:szCs w:val="24"/>
              </w:rPr>
            </w:pPr>
            <w:r w:rsidRPr="00974F0F">
              <w:rPr>
                <w:b/>
                <w:caps/>
                <w:szCs w:val="24"/>
              </w:rPr>
              <w:t>PLĖTROS PROGRAMOS PAŽANGOS Priemonės GERIAUSIOS alternatyvos PASIRINKIMAS</w:t>
            </w:r>
          </w:p>
        </w:tc>
      </w:tr>
      <w:tr w:rsidR="00A13816" w:rsidRPr="00974F0F" w14:paraId="42EE3CF9" w14:textId="77777777">
        <w:tc>
          <w:tcPr>
            <w:tcW w:w="9818" w:type="dxa"/>
          </w:tcPr>
          <w:p w14:paraId="7F26E2D6" w14:textId="2007011C" w:rsidR="00191FB3" w:rsidRDefault="00191FB3" w:rsidP="00191FB3">
            <w:pPr>
              <w:tabs>
                <w:tab w:val="left" w:pos="860"/>
              </w:tabs>
              <w:jc w:val="both"/>
              <w:rPr>
                <w:iCs/>
                <w:szCs w:val="24"/>
              </w:rPr>
            </w:pPr>
            <w:r w:rsidRPr="00974F0F">
              <w:rPr>
                <w:iCs/>
                <w:szCs w:val="24"/>
              </w:rPr>
              <w:t xml:space="preserve">Finansiniai ir ekonominiai skaičiavimai atlikti </w:t>
            </w:r>
            <w:r w:rsidR="00E02A07" w:rsidRPr="00974F0F">
              <w:rPr>
                <w:iCs/>
                <w:szCs w:val="24"/>
              </w:rPr>
              <w:t>S</w:t>
            </w:r>
            <w:r w:rsidRPr="00974F0F">
              <w:rPr>
                <w:iCs/>
                <w:szCs w:val="24"/>
              </w:rPr>
              <w:t>kaičiuoklėje. Skaičiuoklėje pasirinktas sąnaudų ir naudos analizės metodas. Pasirinktas alternatyvų palyginimo principas – efektyvumas. Tačiau</w:t>
            </w:r>
            <w:r w:rsidR="002D2471">
              <w:rPr>
                <w:iCs/>
                <w:szCs w:val="24"/>
              </w:rPr>
              <w:t>,</w:t>
            </w:r>
            <w:r w:rsidRPr="00974F0F">
              <w:rPr>
                <w:iCs/>
                <w:szCs w:val="24"/>
              </w:rPr>
              <w:t xml:space="preserve"> kadangi </w:t>
            </w:r>
            <w:r w:rsidR="00E02A07" w:rsidRPr="00974F0F">
              <w:rPr>
                <w:iCs/>
                <w:szCs w:val="24"/>
              </w:rPr>
              <w:t>šioje priemonėje</w:t>
            </w:r>
            <w:r w:rsidRPr="00974F0F">
              <w:rPr>
                <w:iCs/>
                <w:szCs w:val="24"/>
              </w:rPr>
              <w:t xml:space="preserve"> nagrinėjama 1 alternatyva analizės principo pasirinkimas nėra svarbus. Skaičiuoklėje pinigų srautai pateikiami realia išraiška (t. y. pinigų srautai nekonvertuojami į nominalius). Finansinėje analizėje naudojama 4</w:t>
            </w:r>
            <w:r w:rsidR="003E65D3">
              <w:rPr>
                <w:iCs/>
                <w:szCs w:val="24"/>
              </w:rPr>
              <w:t xml:space="preserve"> </w:t>
            </w:r>
            <w:r w:rsidRPr="00974F0F">
              <w:rPr>
                <w:iCs/>
                <w:szCs w:val="24"/>
                <w:lang w:val="en-US"/>
              </w:rPr>
              <w:t xml:space="preserve">%, </w:t>
            </w:r>
            <w:r w:rsidRPr="00974F0F">
              <w:rPr>
                <w:iCs/>
                <w:szCs w:val="24"/>
              </w:rPr>
              <w:t>ekonominėje analizė</w:t>
            </w:r>
            <w:r w:rsidR="003E65D3">
              <w:rPr>
                <w:iCs/>
                <w:szCs w:val="24"/>
              </w:rPr>
              <w:t>je</w:t>
            </w:r>
            <w:r w:rsidRPr="00974F0F">
              <w:rPr>
                <w:iCs/>
                <w:szCs w:val="24"/>
              </w:rPr>
              <w:t xml:space="preserve"> – 5</w:t>
            </w:r>
            <w:r w:rsidR="003E65D3">
              <w:rPr>
                <w:iCs/>
                <w:szCs w:val="24"/>
              </w:rPr>
              <w:t xml:space="preserve"> </w:t>
            </w:r>
            <w:r w:rsidRPr="00974F0F">
              <w:rPr>
                <w:iCs/>
                <w:szCs w:val="24"/>
                <w:lang w:val="en-US"/>
              </w:rPr>
              <w:t xml:space="preserve">% </w:t>
            </w:r>
            <w:r w:rsidRPr="00974F0F">
              <w:rPr>
                <w:iCs/>
                <w:szCs w:val="24"/>
              </w:rPr>
              <w:t xml:space="preserve">diskonto normos. Skaičiuoklėje pasirinktas 10 metų ataskaitinis laikotarpis. Toks ataskaitinis laikotarpis pasirinktas atsižvelgiant į </w:t>
            </w:r>
            <w:r w:rsidR="003E65D3" w:rsidRPr="00974F0F">
              <w:rPr>
                <w:iCs/>
                <w:szCs w:val="24"/>
              </w:rPr>
              <w:t xml:space="preserve">maksimalų </w:t>
            </w:r>
            <w:r w:rsidR="00057C1F" w:rsidRPr="00974F0F">
              <w:rPr>
                <w:iCs/>
                <w:szCs w:val="24"/>
              </w:rPr>
              <w:t xml:space="preserve">priemonėje </w:t>
            </w:r>
            <w:r w:rsidRPr="00974F0F">
              <w:rPr>
                <w:iCs/>
                <w:szCs w:val="24"/>
              </w:rPr>
              <w:t xml:space="preserve">numatomų </w:t>
            </w:r>
            <w:r w:rsidR="00057C1F" w:rsidRPr="00974F0F">
              <w:rPr>
                <w:iCs/>
                <w:szCs w:val="24"/>
              </w:rPr>
              <w:t xml:space="preserve">įgyvendinti </w:t>
            </w:r>
            <w:r w:rsidRPr="00974F0F">
              <w:rPr>
                <w:iCs/>
                <w:szCs w:val="24"/>
              </w:rPr>
              <w:t>veiklų naudos pasireiškimo laikotarpį.</w:t>
            </w:r>
          </w:p>
          <w:p w14:paraId="45C5E43D" w14:textId="77777777" w:rsidR="00EE33E3" w:rsidRPr="00974F0F" w:rsidRDefault="00EE33E3" w:rsidP="00191FB3">
            <w:pPr>
              <w:tabs>
                <w:tab w:val="left" w:pos="860"/>
              </w:tabs>
              <w:jc w:val="both"/>
              <w:rPr>
                <w:iCs/>
                <w:szCs w:val="24"/>
              </w:rPr>
            </w:pPr>
          </w:p>
          <w:p w14:paraId="5538207C" w14:textId="1B6F4ECD" w:rsidR="00191FB3" w:rsidRPr="00974F0F" w:rsidRDefault="00191FB3" w:rsidP="00191FB3">
            <w:pPr>
              <w:tabs>
                <w:tab w:val="left" w:pos="860"/>
              </w:tabs>
              <w:jc w:val="both"/>
              <w:rPr>
                <w:iCs/>
                <w:szCs w:val="24"/>
              </w:rPr>
            </w:pPr>
            <w:r w:rsidRPr="00974F0F">
              <w:rPr>
                <w:iCs/>
                <w:szCs w:val="24"/>
              </w:rPr>
              <w:t>Viešosioms investicijų išlaidoms apskaičiuoti naudotos prielaidos pateiktos Skaičiuoklės darbalapiuose „PRIEMONĖS VEIKLOS“ ir „INVESTICIJOS“. Likutinė vertė nevertinama</w:t>
            </w:r>
            <w:r w:rsidR="003E65D3">
              <w:rPr>
                <w:iCs/>
                <w:szCs w:val="24"/>
              </w:rPr>
              <w:t>,</w:t>
            </w:r>
            <w:r w:rsidRPr="00974F0F">
              <w:rPr>
                <w:iCs/>
                <w:szCs w:val="24"/>
              </w:rPr>
              <w:t xml:space="preserve"> kadangi visų veiklų turto naudingo tarnavimo laikotarpio pabaigos sutampa su priemonės ataskaitinio laikotarpio pabaiga.</w:t>
            </w:r>
          </w:p>
          <w:p w14:paraId="65431EB2" w14:textId="77777777" w:rsidR="00191FB3" w:rsidRPr="00974F0F" w:rsidRDefault="00191FB3" w:rsidP="00191FB3">
            <w:pPr>
              <w:tabs>
                <w:tab w:val="left" w:pos="860"/>
              </w:tabs>
              <w:jc w:val="both"/>
              <w:rPr>
                <w:iCs/>
                <w:szCs w:val="24"/>
              </w:rPr>
            </w:pPr>
          </w:p>
          <w:p w14:paraId="5AFD70D9" w14:textId="7F1506AA" w:rsidR="00191FB3" w:rsidRPr="00974F0F" w:rsidRDefault="00191FB3" w:rsidP="00191FB3">
            <w:pPr>
              <w:tabs>
                <w:tab w:val="left" w:pos="860"/>
              </w:tabs>
              <w:jc w:val="both"/>
              <w:rPr>
                <w:iCs/>
                <w:szCs w:val="24"/>
              </w:rPr>
            </w:pPr>
            <w:r w:rsidRPr="00974F0F">
              <w:rPr>
                <w:iCs/>
                <w:szCs w:val="24"/>
              </w:rPr>
              <w:t xml:space="preserve">Visas </w:t>
            </w:r>
            <w:r w:rsidR="00A36F01" w:rsidRPr="00974F0F">
              <w:rPr>
                <w:iCs/>
                <w:szCs w:val="24"/>
              </w:rPr>
              <w:t xml:space="preserve">priemonėje </w:t>
            </w:r>
            <w:r w:rsidRPr="00974F0F">
              <w:rPr>
                <w:iCs/>
                <w:szCs w:val="24"/>
              </w:rPr>
              <w:t>numatomas įgyvendinti veiklas, išskyrus 2 NKC veiklas: „Nacionalinio koordinavimo centro funkcijų vykdymas“ ir „Kibernetinio saugumo atsparumo didinimas“</w:t>
            </w:r>
            <w:r w:rsidR="003E65D3">
              <w:rPr>
                <w:iCs/>
                <w:szCs w:val="24"/>
              </w:rPr>
              <w:t>,</w:t>
            </w:r>
            <w:r w:rsidRPr="00974F0F">
              <w:rPr>
                <w:iCs/>
                <w:szCs w:val="24"/>
              </w:rPr>
              <w:t xml:space="preserve"> numatoma finansuoti Ekonomikos gaivinimo ir atsparumo didinimo priemonės lėšomis. NKC veiklas numatoma finansuoti Skaitmeninės Europos programos ir valstybės biudžeto lėšomis santykiu 50</w:t>
            </w:r>
            <w:r w:rsidR="000A73D3">
              <w:rPr>
                <w:iCs/>
                <w:szCs w:val="24"/>
              </w:rPr>
              <w:t xml:space="preserve"> </w:t>
            </w:r>
            <w:r w:rsidRPr="00974F0F">
              <w:rPr>
                <w:iCs/>
                <w:szCs w:val="24"/>
                <w:lang w:val="en-US"/>
              </w:rPr>
              <w:t xml:space="preserve">% </w:t>
            </w:r>
            <w:r w:rsidRPr="00974F0F">
              <w:rPr>
                <w:iCs/>
                <w:szCs w:val="24"/>
              </w:rPr>
              <w:t>/ 50</w:t>
            </w:r>
            <w:r w:rsidR="000A73D3">
              <w:rPr>
                <w:iCs/>
                <w:szCs w:val="24"/>
              </w:rPr>
              <w:t xml:space="preserve"> </w:t>
            </w:r>
            <w:r w:rsidRPr="00974F0F">
              <w:rPr>
                <w:iCs/>
                <w:szCs w:val="24"/>
              </w:rPr>
              <w:t xml:space="preserve">%. NKC veiklų investicijų išlaidos grindžiamos pagal pateiktą paraišką dėl finansavimo pagal Skaitmeninės Europos programą. Kitų veiklų investicijų išlaidos grindžiamos pagal Europos </w:t>
            </w:r>
            <w:r w:rsidR="000A73D3">
              <w:rPr>
                <w:iCs/>
                <w:szCs w:val="24"/>
              </w:rPr>
              <w:t>K</w:t>
            </w:r>
            <w:r w:rsidRPr="00974F0F">
              <w:rPr>
                <w:iCs/>
                <w:szCs w:val="24"/>
              </w:rPr>
              <w:t>omisijai pateiktą biudžetą dėl veiklų įgyvendinimo pagal Ekonomikos gaivinimo ir atsparumo didinimo priemonę. Papildom</w:t>
            </w:r>
            <w:r w:rsidR="000A73D3">
              <w:rPr>
                <w:iCs/>
                <w:szCs w:val="24"/>
              </w:rPr>
              <w:t>ų</w:t>
            </w:r>
            <w:r w:rsidRPr="00974F0F">
              <w:rPr>
                <w:iCs/>
                <w:szCs w:val="24"/>
              </w:rPr>
              <w:t xml:space="preserve"> privataus </w:t>
            </w:r>
            <w:r w:rsidR="001C251E" w:rsidRPr="00974F0F">
              <w:rPr>
                <w:iCs/>
                <w:szCs w:val="24"/>
              </w:rPr>
              <w:t>sektori</w:t>
            </w:r>
            <w:r w:rsidR="001C251E">
              <w:rPr>
                <w:iCs/>
                <w:szCs w:val="24"/>
              </w:rPr>
              <w:t>aus</w:t>
            </w:r>
            <w:r w:rsidR="001C251E" w:rsidRPr="00974F0F">
              <w:rPr>
                <w:iCs/>
                <w:szCs w:val="24"/>
              </w:rPr>
              <w:t xml:space="preserve"> </w:t>
            </w:r>
            <w:r w:rsidRPr="00974F0F">
              <w:rPr>
                <w:iCs/>
                <w:szCs w:val="24"/>
              </w:rPr>
              <w:t xml:space="preserve">ir </w:t>
            </w:r>
            <w:r w:rsidR="000A73D3" w:rsidRPr="000A73D3">
              <w:rPr>
                <w:iCs/>
                <w:szCs w:val="24"/>
              </w:rPr>
              <w:t xml:space="preserve">nevyriausybinių, visuomeninių organizacijų (toliau – </w:t>
            </w:r>
            <w:r w:rsidRPr="00974F0F">
              <w:rPr>
                <w:iCs/>
                <w:szCs w:val="24"/>
              </w:rPr>
              <w:t>NVO</w:t>
            </w:r>
            <w:r w:rsidR="000A73D3">
              <w:rPr>
                <w:iCs/>
                <w:szCs w:val="24"/>
              </w:rPr>
              <w:t>)</w:t>
            </w:r>
            <w:r w:rsidRPr="00974F0F">
              <w:rPr>
                <w:iCs/>
                <w:szCs w:val="24"/>
              </w:rPr>
              <w:t xml:space="preserve"> investicijų išlaid</w:t>
            </w:r>
            <w:r w:rsidR="000A73D3">
              <w:rPr>
                <w:iCs/>
                <w:szCs w:val="24"/>
              </w:rPr>
              <w:t>ų</w:t>
            </w:r>
            <w:r w:rsidRPr="00974F0F">
              <w:rPr>
                <w:iCs/>
                <w:szCs w:val="24"/>
              </w:rPr>
              <w:t xml:space="preserve"> nenumatom</w:t>
            </w:r>
            <w:r w:rsidR="000A73D3">
              <w:rPr>
                <w:iCs/>
                <w:szCs w:val="24"/>
              </w:rPr>
              <w:t>a</w:t>
            </w:r>
            <w:r w:rsidRPr="00974F0F">
              <w:rPr>
                <w:iCs/>
                <w:szCs w:val="24"/>
              </w:rPr>
              <w:t xml:space="preserve"> n</w:t>
            </w:r>
            <w:r w:rsidR="000A73D3">
              <w:rPr>
                <w:iCs/>
                <w:szCs w:val="24"/>
              </w:rPr>
              <w:t>ė</w:t>
            </w:r>
            <w:r w:rsidRPr="00974F0F">
              <w:rPr>
                <w:iCs/>
                <w:szCs w:val="24"/>
              </w:rPr>
              <w:t xml:space="preserve"> vien</w:t>
            </w:r>
            <w:r w:rsidR="000A73D3">
              <w:rPr>
                <w:iCs/>
                <w:szCs w:val="24"/>
              </w:rPr>
              <w:t>ai</w:t>
            </w:r>
            <w:r w:rsidRPr="00974F0F">
              <w:rPr>
                <w:iCs/>
                <w:szCs w:val="24"/>
              </w:rPr>
              <w:t xml:space="preserve"> veikl</w:t>
            </w:r>
            <w:r w:rsidR="000A73D3">
              <w:rPr>
                <w:iCs/>
                <w:szCs w:val="24"/>
              </w:rPr>
              <w:t>ai</w:t>
            </w:r>
            <w:r w:rsidRPr="00974F0F">
              <w:rPr>
                <w:iCs/>
                <w:szCs w:val="24"/>
              </w:rPr>
              <w:t>.</w:t>
            </w:r>
          </w:p>
          <w:p w14:paraId="47DF1B09" w14:textId="77777777" w:rsidR="00191FB3" w:rsidRPr="00974F0F" w:rsidRDefault="00191FB3" w:rsidP="00191FB3">
            <w:pPr>
              <w:tabs>
                <w:tab w:val="left" w:pos="860"/>
              </w:tabs>
              <w:jc w:val="both"/>
              <w:rPr>
                <w:iCs/>
                <w:szCs w:val="24"/>
              </w:rPr>
            </w:pPr>
          </w:p>
          <w:p w14:paraId="551CF8D1" w14:textId="7614EBBC" w:rsidR="00191FB3" w:rsidRPr="00974F0F" w:rsidRDefault="002D2471" w:rsidP="00191FB3">
            <w:pPr>
              <w:tabs>
                <w:tab w:val="left" w:pos="860"/>
              </w:tabs>
              <w:jc w:val="both"/>
              <w:rPr>
                <w:iCs/>
                <w:szCs w:val="24"/>
              </w:rPr>
            </w:pPr>
            <w:r>
              <w:rPr>
                <w:iCs/>
                <w:szCs w:val="24"/>
              </w:rPr>
              <w:t>Po investicijų laikotarpio</w:t>
            </w:r>
            <w:r w:rsidR="00191FB3" w:rsidRPr="00974F0F">
              <w:rPr>
                <w:iCs/>
                <w:szCs w:val="24"/>
              </w:rPr>
              <w:t xml:space="preserve"> Skaičiuoklėje toliau suplanuotos veiklų paslaugų teikimo ir infrastruktūros priežiūros išlaidos.</w:t>
            </w:r>
            <w:r>
              <w:rPr>
                <w:iCs/>
                <w:szCs w:val="24"/>
              </w:rPr>
              <w:t xml:space="preserve"> </w:t>
            </w:r>
            <w:r w:rsidR="00191FB3" w:rsidRPr="00974F0F">
              <w:rPr>
                <w:iCs/>
                <w:szCs w:val="24"/>
              </w:rPr>
              <w:t>Veiklos išlaid</w:t>
            </w:r>
            <w:r w:rsidR="001C251E">
              <w:rPr>
                <w:iCs/>
                <w:szCs w:val="24"/>
              </w:rPr>
              <w:t>ų</w:t>
            </w:r>
            <w:r w:rsidR="00191FB3" w:rsidRPr="00974F0F">
              <w:rPr>
                <w:iCs/>
                <w:szCs w:val="24"/>
              </w:rPr>
              <w:t xml:space="preserve"> apskaiči</w:t>
            </w:r>
            <w:r w:rsidR="001C251E">
              <w:rPr>
                <w:iCs/>
                <w:szCs w:val="24"/>
              </w:rPr>
              <w:t>avimo</w:t>
            </w:r>
            <w:r w:rsidR="00191FB3" w:rsidRPr="00974F0F">
              <w:rPr>
                <w:iCs/>
                <w:szCs w:val="24"/>
              </w:rPr>
              <w:t xml:space="preserve"> prielaidos pateiktos Skaičiuoklės darbalapiuose „PRIEMONĖS VEIKLOS</w:t>
            </w:r>
            <w:r w:rsidR="001C251E">
              <w:rPr>
                <w:iCs/>
                <w:szCs w:val="24"/>
              </w:rPr>
              <w:t>“</w:t>
            </w:r>
            <w:r w:rsidR="00191FB3" w:rsidRPr="00974F0F">
              <w:rPr>
                <w:iCs/>
                <w:szCs w:val="24"/>
              </w:rPr>
              <w:t xml:space="preserve"> ir „VEIKLOS IŠLAIDOS“. Papildomos privataus </w:t>
            </w:r>
            <w:r w:rsidR="001C251E">
              <w:rPr>
                <w:iCs/>
                <w:szCs w:val="24"/>
              </w:rPr>
              <w:t xml:space="preserve">sektoriaus </w:t>
            </w:r>
            <w:r w:rsidR="00191FB3" w:rsidRPr="00974F0F">
              <w:rPr>
                <w:iCs/>
                <w:szCs w:val="24"/>
              </w:rPr>
              <w:t xml:space="preserve">ir NVO veiklos išlaidos numatomos dėl 1 veiklos įgyvendinimo – veikla </w:t>
            </w:r>
            <w:r w:rsidR="001C251E">
              <w:rPr>
                <w:iCs/>
                <w:szCs w:val="24"/>
              </w:rPr>
              <w:t>N</w:t>
            </w:r>
            <w:r w:rsidR="00191FB3" w:rsidRPr="00974F0F">
              <w:rPr>
                <w:iCs/>
                <w:szCs w:val="24"/>
              </w:rPr>
              <w:t>r. 2: sukūrus SOC atsiras papildom</w:t>
            </w:r>
            <w:r w:rsidR="001C251E">
              <w:rPr>
                <w:iCs/>
                <w:szCs w:val="24"/>
              </w:rPr>
              <w:t>ų</w:t>
            </w:r>
            <w:r w:rsidR="00191FB3" w:rsidRPr="00974F0F">
              <w:rPr>
                <w:iCs/>
                <w:szCs w:val="24"/>
              </w:rPr>
              <w:t xml:space="preserve"> žmogišk</w:t>
            </w:r>
            <w:r w:rsidR="001C251E">
              <w:rPr>
                <w:iCs/>
                <w:szCs w:val="24"/>
              </w:rPr>
              <w:t>ųjų</w:t>
            </w:r>
            <w:r w:rsidR="00191FB3" w:rsidRPr="00974F0F">
              <w:rPr>
                <w:iCs/>
                <w:szCs w:val="24"/>
              </w:rPr>
              <w:t xml:space="preserve"> ištekli</w:t>
            </w:r>
            <w:r w:rsidR="001C251E">
              <w:rPr>
                <w:iCs/>
                <w:szCs w:val="24"/>
              </w:rPr>
              <w:t>ų</w:t>
            </w:r>
            <w:r w:rsidR="001C251E" w:rsidRPr="00974F0F">
              <w:rPr>
                <w:iCs/>
                <w:szCs w:val="24"/>
              </w:rPr>
              <w:t xml:space="preserve"> poreikis</w:t>
            </w:r>
            <w:r w:rsidR="00191FB3" w:rsidRPr="00974F0F">
              <w:rPr>
                <w:iCs/>
                <w:szCs w:val="24"/>
              </w:rPr>
              <w:t>, 1 SOC – 4 papildomi etatai.</w:t>
            </w:r>
          </w:p>
          <w:p w14:paraId="53824DE1" w14:textId="77777777" w:rsidR="00191FB3" w:rsidRPr="00974F0F" w:rsidRDefault="00191FB3" w:rsidP="00191FB3">
            <w:pPr>
              <w:tabs>
                <w:tab w:val="left" w:pos="860"/>
              </w:tabs>
              <w:jc w:val="both"/>
              <w:rPr>
                <w:iCs/>
                <w:szCs w:val="24"/>
              </w:rPr>
            </w:pPr>
          </w:p>
          <w:p w14:paraId="48F2966A" w14:textId="05797301" w:rsidR="00191FB3" w:rsidRPr="00974F0F" w:rsidRDefault="00191FB3" w:rsidP="00191FB3">
            <w:pPr>
              <w:tabs>
                <w:tab w:val="left" w:pos="860"/>
              </w:tabs>
              <w:jc w:val="both"/>
              <w:rPr>
                <w:iCs/>
                <w:szCs w:val="24"/>
              </w:rPr>
            </w:pPr>
            <w:r w:rsidRPr="00974F0F">
              <w:rPr>
                <w:iCs/>
                <w:szCs w:val="24"/>
              </w:rPr>
              <w:t>Vertinant priemonės socialinę-ekonominę naudą skaičiuoklėje naudojami įverčiai:</w:t>
            </w:r>
          </w:p>
          <w:p w14:paraId="1D814D02" w14:textId="3D5C608C" w:rsidR="00191FB3" w:rsidRPr="00974F0F" w:rsidRDefault="001800B9" w:rsidP="00191FB3">
            <w:pPr>
              <w:pStyle w:val="ListParagraph"/>
              <w:numPr>
                <w:ilvl w:val="0"/>
                <w:numId w:val="12"/>
              </w:numPr>
              <w:tabs>
                <w:tab w:val="left" w:pos="860"/>
              </w:tabs>
              <w:jc w:val="both"/>
              <w:rPr>
                <w:iCs/>
                <w:szCs w:val="24"/>
              </w:rPr>
            </w:pPr>
            <w:r>
              <w:rPr>
                <w:iCs/>
                <w:szCs w:val="24"/>
              </w:rPr>
              <w:t>i</w:t>
            </w:r>
            <w:r w:rsidR="00191FB3" w:rsidRPr="00974F0F">
              <w:rPr>
                <w:iCs/>
                <w:szCs w:val="24"/>
              </w:rPr>
              <w:t>švengta žala dėl greičiau aptiktų kibernetinių incidentų;</w:t>
            </w:r>
          </w:p>
          <w:p w14:paraId="0473F9CE" w14:textId="45B39B88" w:rsidR="00191FB3" w:rsidRPr="00974F0F" w:rsidRDefault="001800B9" w:rsidP="00191FB3">
            <w:pPr>
              <w:pStyle w:val="ListParagraph"/>
              <w:numPr>
                <w:ilvl w:val="0"/>
                <w:numId w:val="12"/>
              </w:numPr>
              <w:tabs>
                <w:tab w:val="left" w:pos="860"/>
              </w:tabs>
              <w:jc w:val="both"/>
              <w:rPr>
                <w:iCs/>
                <w:szCs w:val="24"/>
              </w:rPr>
            </w:pPr>
            <w:r>
              <w:rPr>
                <w:iCs/>
                <w:szCs w:val="24"/>
              </w:rPr>
              <w:t>i</w:t>
            </w:r>
            <w:r w:rsidR="00191FB3" w:rsidRPr="00974F0F">
              <w:rPr>
                <w:iCs/>
                <w:szCs w:val="24"/>
              </w:rPr>
              <w:t>švengta žala dėl kibernetinių incidentų sumažėjimo;</w:t>
            </w:r>
          </w:p>
          <w:p w14:paraId="70431086" w14:textId="6253B0BE" w:rsidR="00191FB3" w:rsidRPr="00974F0F" w:rsidRDefault="001800B9" w:rsidP="00191FB3">
            <w:pPr>
              <w:pStyle w:val="ListParagraph"/>
              <w:numPr>
                <w:ilvl w:val="0"/>
                <w:numId w:val="12"/>
              </w:numPr>
              <w:tabs>
                <w:tab w:val="left" w:pos="860"/>
              </w:tabs>
              <w:jc w:val="both"/>
              <w:rPr>
                <w:iCs/>
                <w:szCs w:val="24"/>
              </w:rPr>
            </w:pPr>
            <w:r>
              <w:rPr>
                <w:iCs/>
                <w:szCs w:val="24"/>
              </w:rPr>
              <w:t>l</w:t>
            </w:r>
            <w:r w:rsidR="00191FB3" w:rsidRPr="00974F0F">
              <w:rPr>
                <w:iCs/>
                <w:szCs w:val="24"/>
              </w:rPr>
              <w:t>aiko ir pinig</w:t>
            </w:r>
            <w:r w:rsidR="002D2471">
              <w:rPr>
                <w:iCs/>
                <w:szCs w:val="24"/>
              </w:rPr>
              <w:t xml:space="preserve">iniai </w:t>
            </w:r>
            <w:r w:rsidR="00191FB3" w:rsidRPr="00974F0F">
              <w:rPr>
                <w:iCs/>
                <w:szCs w:val="24"/>
              </w:rPr>
              <w:t>sutaupyma</w:t>
            </w:r>
            <w:r w:rsidR="002D2471">
              <w:rPr>
                <w:iCs/>
                <w:szCs w:val="24"/>
              </w:rPr>
              <w:t>i</w:t>
            </w:r>
            <w:r w:rsidR="00191FB3" w:rsidRPr="00974F0F">
              <w:rPr>
                <w:iCs/>
                <w:szCs w:val="24"/>
              </w:rPr>
              <w:t>;</w:t>
            </w:r>
          </w:p>
          <w:p w14:paraId="57DDE9D3" w14:textId="5FC2A903" w:rsidR="00191FB3" w:rsidRPr="00974F0F" w:rsidRDefault="001800B9" w:rsidP="00191FB3">
            <w:pPr>
              <w:pStyle w:val="ListParagraph"/>
              <w:numPr>
                <w:ilvl w:val="0"/>
                <w:numId w:val="12"/>
              </w:numPr>
              <w:tabs>
                <w:tab w:val="left" w:pos="860"/>
              </w:tabs>
              <w:jc w:val="both"/>
              <w:rPr>
                <w:iCs/>
                <w:szCs w:val="24"/>
              </w:rPr>
            </w:pPr>
            <w:r>
              <w:rPr>
                <w:iCs/>
                <w:szCs w:val="24"/>
              </w:rPr>
              <w:t>p</w:t>
            </w:r>
            <w:r w:rsidR="00191FB3" w:rsidRPr="00974F0F">
              <w:rPr>
                <w:iCs/>
                <w:szCs w:val="24"/>
              </w:rPr>
              <w:t>asiryžimas sumokėti už apsilankymą kultūros objekte.</w:t>
            </w:r>
          </w:p>
          <w:p w14:paraId="77603B4F" w14:textId="51E88A19" w:rsidR="00191FB3" w:rsidRPr="00974F0F" w:rsidRDefault="00191FB3" w:rsidP="00191FB3">
            <w:pPr>
              <w:tabs>
                <w:tab w:val="left" w:pos="860"/>
              </w:tabs>
              <w:jc w:val="both"/>
              <w:rPr>
                <w:iCs/>
                <w:szCs w:val="24"/>
              </w:rPr>
            </w:pPr>
            <w:r w:rsidRPr="00974F0F">
              <w:rPr>
                <w:iCs/>
                <w:szCs w:val="24"/>
              </w:rPr>
              <w:t xml:space="preserve">Socialinėje-ekonominėje analizėje naudotos </w:t>
            </w:r>
            <w:r w:rsidR="001800B9">
              <w:rPr>
                <w:iCs/>
                <w:szCs w:val="24"/>
              </w:rPr>
              <w:t>santykinai</w:t>
            </w:r>
            <w:r w:rsidR="001800B9" w:rsidRPr="00974F0F">
              <w:rPr>
                <w:iCs/>
                <w:szCs w:val="24"/>
              </w:rPr>
              <w:t xml:space="preserve"> </w:t>
            </w:r>
            <w:r w:rsidRPr="00974F0F">
              <w:rPr>
                <w:iCs/>
                <w:szCs w:val="24"/>
              </w:rPr>
              <w:t>pesimistinės prielaidos. Naudos skaičiavim</w:t>
            </w:r>
            <w:r w:rsidR="001800B9">
              <w:rPr>
                <w:iCs/>
                <w:szCs w:val="24"/>
              </w:rPr>
              <w:t>o</w:t>
            </w:r>
            <w:r w:rsidRPr="00974F0F">
              <w:rPr>
                <w:iCs/>
                <w:szCs w:val="24"/>
              </w:rPr>
              <w:t xml:space="preserve"> ir naudojamų prielaidų paaiškinimai pateikiami Skaičiuoklės darbalapiuose „SE_Kib. zala greiciau“, „SE_Kib. Zala“, „SE_laiko sutaupymai“, „SE_Kultura“. </w:t>
            </w:r>
          </w:p>
          <w:p w14:paraId="7C23B44F" w14:textId="77777777" w:rsidR="00191FB3" w:rsidRPr="00974F0F" w:rsidRDefault="00191FB3" w:rsidP="00191FB3">
            <w:pPr>
              <w:jc w:val="both"/>
              <w:rPr>
                <w:i/>
                <w:szCs w:val="24"/>
              </w:rPr>
            </w:pPr>
          </w:p>
          <w:p w14:paraId="69DC4920" w14:textId="6D31EE35" w:rsidR="00191FB3" w:rsidRPr="00974F0F" w:rsidRDefault="00191FB3" w:rsidP="001800B9">
            <w:pPr>
              <w:jc w:val="both"/>
              <w:rPr>
                <w:i/>
                <w:szCs w:val="24"/>
              </w:rPr>
            </w:pPr>
            <w:r w:rsidRPr="00974F0F">
              <w:rPr>
                <w:iCs/>
                <w:szCs w:val="24"/>
              </w:rPr>
              <w:lastRenderedPageBreak/>
              <w:t xml:space="preserve">Atlikus socialinę-ekonominę analizę nustatyta, kad priemonės </w:t>
            </w:r>
            <w:r w:rsidR="00C85E06" w:rsidRPr="00974F0F">
              <w:rPr>
                <w:iCs/>
                <w:szCs w:val="24"/>
              </w:rPr>
              <w:t>ekonominės naudos ir išlaidų santykis (</w:t>
            </w:r>
            <w:r w:rsidRPr="00974F0F">
              <w:rPr>
                <w:iCs/>
                <w:szCs w:val="24"/>
              </w:rPr>
              <w:t>ENIS</w:t>
            </w:r>
            <w:r w:rsidR="00C85E06" w:rsidRPr="00974F0F">
              <w:rPr>
                <w:iCs/>
                <w:szCs w:val="24"/>
              </w:rPr>
              <w:t>)</w:t>
            </w:r>
            <w:r w:rsidRPr="00974F0F">
              <w:rPr>
                <w:iCs/>
                <w:szCs w:val="24"/>
              </w:rPr>
              <w:t xml:space="preserve"> – 1.</w:t>
            </w:r>
            <w:r w:rsidR="00106176">
              <w:rPr>
                <w:iCs/>
                <w:szCs w:val="24"/>
              </w:rPr>
              <w:t>46</w:t>
            </w:r>
            <w:r w:rsidRPr="00974F0F">
              <w:rPr>
                <w:iCs/>
                <w:szCs w:val="24"/>
              </w:rPr>
              <w:t>. Tai reiškia, kad socialiniu-ekonominiu požiūriu nagrinėjamo veiklų rinkinio įgyvendinimas</w:t>
            </w:r>
            <w:r w:rsidR="002D2471">
              <w:rPr>
                <w:iCs/>
                <w:szCs w:val="24"/>
              </w:rPr>
              <w:t xml:space="preserve"> atsipirktų. </w:t>
            </w:r>
          </w:p>
        </w:tc>
      </w:tr>
    </w:tbl>
    <w:p w14:paraId="356428D0" w14:textId="42B36777" w:rsidR="00A13816" w:rsidRDefault="00A13816" w:rsidP="00133356">
      <w:pPr>
        <w:jc w:val="center"/>
        <w:rPr>
          <w:szCs w:val="24"/>
        </w:rPr>
      </w:pPr>
    </w:p>
    <w:p w14:paraId="551EEE5D" w14:textId="77777777" w:rsidR="00133356" w:rsidRDefault="00133356" w:rsidP="00133356">
      <w:pPr>
        <w:jc w:val="center"/>
        <w:rPr>
          <w:szCs w:val="24"/>
        </w:rPr>
      </w:pPr>
    </w:p>
    <w:p w14:paraId="138D2555" w14:textId="65B4880E" w:rsidR="00133356" w:rsidRPr="00974F0F" w:rsidRDefault="00133356" w:rsidP="00133356">
      <w:pPr>
        <w:jc w:val="center"/>
        <w:rPr>
          <w:szCs w:val="24"/>
        </w:rPr>
      </w:pPr>
      <w:r>
        <w:rPr>
          <w:szCs w:val="24"/>
        </w:rPr>
        <w:t>________________________</w:t>
      </w:r>
    </w:p>
    <w:sectPr w:rsidR="00133356" w:rsidRPr="00974F0F" w:rsidSect="00020307">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14C78" w14:textId="77777777" w:rsidR="00B36CF1" w:rsidRDefault="00B36CF1">
      <w:pPr>
        <w:rPr>
          <w:sz w:val="22"/>
          <w:szCs w:val="22"/>
        </w:rPr>
      </w:pPr>
      <w:r>
        <w:rPr>
          <w:sz w:val="22"/>
          <w:szCs w:val="22"/>
        </w:rPr>
        <w:separator/>
      </w:r>
    </w:p>
  </w:endnote>
  <w:endnote w:type="continuationSeparator" w:id="0">
    <w:p w14:paraId="35B7AEA2" w14:textId="77777777" w:rsidR="00B36CF1" w:rsidRDefault="00B36CF1">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swiss"/>
    <w:pitch w:val="variable"/>
  </w:font>
  <w:font w:name="Republika">
    <w:altName w:val="Yu Gothic"/>
    <w:panose1 w:val="00000000000000000000"/>
    <w:charset w:val="80"/>
    <w:family w:val="swiss"/>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56B24" w14:textId="77777777" w:rsidR="00B36CF1" w:rsidRDefault="00B36CF1">
      <w:pPr>
        <w:rPr>
          <w:sz w:val="22"/>
          <w:szCs w:val="22"/>
        </w:rPr>
      </w:pPr>
      <w:r>
        <w:rPr>
          <w:sz w:val="22"/>
          <w:szCs w:val="22"/>
        </w:rPr>
        <w:separator/>
      </w:r>
    </w:p>
  </w:footnote>
  <w:footnote w:type="continuationSeparator" w:id="0">
    <w:p w14:paraId="5CC5CD04" w14:textId="77777777" w:rsidR="00B36CF1" w:rsidRDefault="00B36CF1">
      <w:pPr>
        <w:rPr>
          <w:sz w:val="22"/>
          <w:szCs w:val="22"/>
        </w:rPr>
      </w:pPr>
      <w:r>
        <w:rPr>
          <w:sz w:val="22"/>
          <w:szCs w:val="22"/>
        </w:rPr>
        <w:continuationSeparator/>
      </w:r>
    </w:p>
  </w:footnote>
  <w:footnote w:id="1">
    <w:p w14:paraId="0AF8FE1C" w14:textId="77777777" w:rsidR="00120AB6" w:rsidRDefault="00120AB6" w:rsidP="00227D8F">
      <w:pPr>
        <w:rPr>
          <w:sz w:val="22"/>
        </w:rPr>
      </w:pPr>
      <w:r>
        <w:rPr>
          <w:sz w:val="20"/>
          <w:vertAlign w:val="superscript"/>
        </w:rPr>
        <w:footnoteRef/>
      </w:r>
      <w:r>
        <w:t xml:space="preserve"> </w:t>
      </w:r>
      <w:r>
        <w:rPr>
          <w:bCs/>
          <w:color w:val="000000"/>
          <w:sz w:val="20"/>
          <w:shd w:val="clear" w:color="auto" w:fill="FFFFFF"/>
        </w:rPr>
        <w:t>2022 m. gruodžio 14 d. Europos Parlamento ir Tarybos direktyva (ES) 2022/2555 Dėl priemonių aukštam bendram kibernetinio saugumo lygiui visoje Sąjungoje užtikrinti, kuria iš dalies keičiamas Reglamentas (ES) Nr. 910/2014 ir Direktyva (ES) 2018/1972 ir panaikinama Direktyva (ES) 2016/1148 (TIS 2 direktyva), https://eur-lex.europa.eu/legal-content/LT/TXT/HTML/?uri=CELEX:32022L2555&amp;from=EN.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291400"/>
      <w:docPartObj>
        <w:docPartGallery w:val="Page Numbers (Top of Page)"/>
        <w:docPartUnique/>
      </w:docPartObj>
    </w:sdtPr>
    <w:sdtEndPr/>
    <w:sdtContent>
      <w:p w14:paraId="2939924F" w14:textId="668B30D7" w:rsidR="00120AB6" w:rsidRDefault="00120AB6">
        <w:pPr>
          <w:pStyle w:val="Header"/>
          <w:jc w:val="center"/>
        </w:pPr>
        <w:r>
          <w:fldChar w:fldCharType="begin"/>
        </w:r>
        <w:r>
          <w:instrText>PAGE   \* MERGEFORMAT</w:instrText>
        </w:r>
        <w:r>
          <w:fldChar w:fldCharType="separate"/>
        </w:r>
        <w:r w:rsidR="006969B9">
          <w:rPr>
            <w:noProof/>
          </w:rPr>
          <w:t>2</w:t>
        </w:r>
        <w:r>
          <w:fldChar w:fldCharType="end"/>
        </w:r>
      </w:p>
    </w:sdtContent>
  </w:sdt>
  <w:p w14:paraId="20AE9B38" w14:textId="77777777" w:rsidR="00120AB6" w:rsidRDefault="00120AB6">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567"/>
    <w:multiLevelType w:val="hybridMultilevel"/>
    <w:tmpl w:val="BB16BA7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1E6FD2"/>
    <w:multiLevelType w:val="hybridMultilevel"/>
    <w:tmpl w:val="1090B024"/>
    <w:lvl w:ilvl="0" w:tplc="CB04FC8A">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06717C"/>
    <w:multiLevelType w:val="hybridMultilevel"/>
    <w:tmpl w:val="88D25E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942DC5"/>
    <w:multiLevelType w:val="hybridMultilevel"/>
    <w:tmpl w:val="4EEE5CAC"/>
    <w:lvl w:ilvl="0" w:tplc="BEC62304">
      <w:start w:val="1"/>
      <w:numFmt w:val="bullet"/>
      <w:lvlText w:val="•"/>
      <w:lvlJc w:val="left"/>
      <w:pPr>
        <w:tabs>
          <w:tab w:val="num" w:pos="720"/>
        </w:tabs>
        <w:ind w:left="720" w:hanging="360"/>
      </w:pPr>
      <w:rPr>
        <w:rFonts w:ascii="Times New Roman" w:hAnsi="Times New Roman" w:hint="default"/>
      </w:rPr>
    </w:lvl>
    <w:lvl w:ilvl="1" w:tplc="983E14B4" w:tentative="1">
      <w:start w:val="1"/>
      <w:numFmt w:val="bullet"/>
      <w:lvlText w:val="•"/>
      <w:lvlJc w:val="left"/>
      <w:pPr>
        <w:tabs>
          <w:tab w:val="num" w:pos="1440"/>
        </w:tabs>
        <w:ind w:left="1440" w:hanging="360"/>
      </w:pPr>
      <w:rPr>
        <w:rFonts w:ascii="Times New Roman" w:hAnsi="Times New Roman" w:hint="default"/>
      </w:rPr>
    </w:lvl>
    <w:lvl w:ilvl="2" w:tplc="AE08D5DE" w:tentative="1">
      <w:start w:val="1"/>
      <w:numFmt w:val="bullet"/>
      <w:lvlText w:val="•"/>
      <w:lvlJc w:val="left"/>
      <w:pPr>
        <w:tabs>
          <w:tab w:val="num" w:pos="2160"/>
        </w:tabs>
        <w:ind w:left="2160" w:hanging="360"/>
      </w:pPr>
      <w:rPr>
        <w:rFonts w:ascii="Times New Roman" w:hAnsi="Times New Roman" w:hint="default"/>
      </w:rPr>
    </w:lvl>
    <w:lvl w:ilvl="3" w:tplc="31BC54F2" w:tentative="1">
      <w:start w:val="1"/>
      <w:numFmt w:val="bullet"/>
      <w:lvlText w:val="•"/>
      <w:lvlJc w:val="left"/>
      <w:pPr>
        <w:tabs>
          <w:tab w:val="num" w:pos="2880"/>
        </w:tabs>
        <w:ind w:left="2880" w:hanging="360"/>
      </w:pPr>
      <w:rPr>
        <w:rFonts w:ascii="Times New Roman" w:hAnsi="Times New Roman" w:hint="default"/>
      </w:rPr>
    </w:lvl>
    <w:lvl w:ilvl="4" w:tplc="3E5CAE52" w:tentative="1">
      <w:start w:val="1"/>
      <w:numFmt w:val="bullet"/>
      <w:lvlText w:val="•"/>
      <w:lvlJc w:val="left"/>
      <w:pPr>
        <w:tabs>
          <w:tab w:val="num" w:pos="3600"/>
        </w:tabs>
        <w:ind w:left="3600" w:hanging="360"/>
      </w:pPr>
      <w:rPr>
        <w:rFonts w:ascii="Times New Roman" w:hAnsi="Times New Roman" w:hint="default"/>
      </w:rPr>
    </w:lvl>
    <w:lvl w:ilvl="5" w:tplc="2AB27834" w:tentative="1">
      <w:start w:val="1"/>
      <w:numFmt w:val="bullet"/>
      <w:lvlText w:val="•"/>
      <w:lvlJc w:val="left"/>
      <w:pPr>
        <w:tabs>
          <w:tab w:val="num" w:pos="4320"/>
        </w:tabs>
        <w:ind w:left="4320" w:hanging="360"/>
      </w:pPr>
      <w:rPr>
        <w:rFonts w:ascii="Times New Roman" w:hAnsi="Times New Roman" w:hint="default"/>
      </w:rPr>
    </w:lvl>
    <w:lvl w:ilvl="6" w:tplc="F940CDC6" w:tentative="1">
      <w:start w:val="1"/>
      <w:numFmt w:val="bullet"/>
      <w:lvlText w:val="•"/>
      <w:lvlJc w:val="left"/>
      <w:pPr>
        <w:tabs>
          <w:tab w:val="num" w:pos="5040"/>
        </w:tabs>
        <w:ind w:left="5040" w:hanging="360"/>
      </w:pPr>
      <w:rPr>
        <w:rFonts w:ascii="Times New Roman" w:hAnsi="Times New Roman" w:hint="default"/>
      </w:rPr>
    </w:lvl>
    <w:lvl w:ilvl="7" w:tplc="B06CBB58" w:tentative="1">
      <w:start w:val="1"/>
      <w:numFmt w:val="bullet"/>
      <w:lvlText w:val="•"/>
      <w:lvlJc w:val="left"/>
      <w:pPr>
        <w:tabs>
          <w:tab w:val="num" w:pos="5760"/>
        </w:tabs>
        <w:ind w:left="5760" w:hanging="360"/>
      </w:pPr>
      <w:rPr>
        <w:rFonts w:ascii="Times New Roman" w:hAnsi="Times New Roman" w:hint="default"/>
      </w:rPr>
    </w:lvl>
    <w:lvl w:ilvl="8" w:tplc="C37AD68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6E44BA5"/>
    <w:multiLevelType w:val="hybridMultilevel"/>
    <w:tmpl w:val="A0845F08"/>
    <w:lvl w:ilvl="0" w:tplc="4DBA55CA">
      <w:start w:val="1"/>
      <w:numFmt w:val="decimal"/>
      <w:lvlText w:val="%1)"/>
      <w:lvlJc w:val="left"/>
      <w:pPr>
        <w:ind w:left="961" w:hanging="360"/>
      </w:pPr>
      <w:rPr>
        <w:rFonts w:ascii="Times New Roman" w:hAnsi="Times New Roman" w:cs="Times New Roman"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5" w15:restartNumberingAfterBreak="0">
    <w:nsid w:val="514879F1"/>
    <w:multiLevelType w:val="hybridMultilevel"/>
    <w:tmpl w:val="A466911C"/>
    <w:lvl w:ilvl="0" w:tplc="663225AE">
      <w:start w:val="1"/>
      <w:numFmt w:val="bullet"/>
      <w:lvlText w:val="•"/>
      <w:lvlJc w:val="left"/>
      <w:pPr>
        <w:tabs>
          <w:tab w:val="num" w:pos="720"/>
        </w:tabs>
        <w:ind w:left="720" w:hanging="360"/>
      </w:pPr>
      <w:rPr>
        <w:rFonts w:ascii="Times New Roman" w:hAnsi="Times New Roman" w:hint="default"/>
      </w:rPr>
    </w:lvl>
    <w:lvl w:ilvl="1" w:tplc="11ECC8A0" w:tentative="1">
      <w:start w:val="1"/>
      <w:numFmt w:val="bullet"/>
      <w:lvlText w:val="•"/>
      <w:lvlJc w:val="left"/>
      <w:pPr>
        <w:tabs>
          <w:tab w:val="num" w:pos="1440"/>
        </w:tabs>
        <w:ind w:left="1440" w:hanging="360"/>
      </w:pPr>
      <w:rPr>
        <w:rFonts w:ascii="Times New Roman" w:hAnsi="Times New Roman" w:hint="default"/>
      </w:rPr>
    </w:lvl>
    <w:lvl w:ilvl="2" w:tplc="4B625AC8" w:tentative="1">
      <w:start w:val="1"/>
      <w:numFmt w:val="bullet"/>
      <w:lvlText w:val="•"/>
      <w:lvlJc w:val="left"/>
      <w:pPr>
        <w:tabs>
          <w:tab w:val="num" w:pos="2160"/>
        </w:tabs>
        <w:ind w:left="2160" w:hanging="360"/>
      </w:pPr>
      <w:rPr>
        <w:rFonts w:ascii="Times New Roman" w:hAnsi="Times New Roman" w:hint="default"/>
      </w:rPr>
    </w:lvl>
    <w:lvl w:ilvl="3" w:tplc="4858E996" w:tentative="1">
      <w:start w:val="1"/>
      <w:numFmt w:val="bullet"/>
      <w:lvlText w:val="•"/>
      <w:lvlJc w:val="left"/>
      <w:pPr>
        <w:tabs>
          <w:tab w:val="num" w:pos="2880"/>
        </w:tabs>
        <w:ind w:left="2880" w:hanging="360"/>
      </w:pPr>
      <w:rPr>
        <w:rFonts w:ascii="Times New Roman" w:hAnsi="Times New Roman" w:hint="default"/>
      </w:rPr>
    </w:lvl>
    <w:lvl w:ilvl="4" w:tplc="C562B338" w:tentative="1">
      <w:start w:val="1"/>
      <w:numFmt w:val="bullet"/>
      <w:lvlText w:val="•"/>
      <w:lvlJc w:val="left"/>
      <w:pPr>
        <w:tabs>
          <w:tab w:val="num" w:pos="3600"/>
        </w:tabs>
        <w:ind w:left="3600" w:hanging="360"/>
      </w:pPr>
      <w:rPr>
        <w:rFonts w:ascii="Times New Roman" w:hAnsi="Times New Roman" w:hint="default"/>
      </w:rPr>
    </w:lvl>
    <w:lvl w:ilvl="5" w:tplc="1CF67AE2" w:tentative="1">
      <w:start w:val="1"/>
      <w:numFmt w:val="bullet"/>
      <w:lvlText w:val="•"/>
      <w:lvlJc w:val="left"/>
      <w:pPr>
        <w:tabs>
          <w:tab w:val="num" w:pos="4320"/>
        </w:tabs>
        <w:ind w:left="4320" w:hanging="360"/>
      </w:pPr>
      <w:rPr>
        <w:rFonts w:ascii="Times New Roman" w:hAnsi="Times New Roman" w:hint="default"/>
      </w:rPr>
    </w:lvl>
    <w:lvl w:ilvl="6" w:tplc="D2C68A16" w:tentative="1">
      <w:start w:val="1"/>
      <w:numFmt w:val="bullet"/>
      <w:lvlText w:val="•"/>
      <w:lvlJc w:val="left"/>
      <w:pPr>
        <w:tabs>
          <w:tab w:val="num" w:pos="5040"/>
        </w:tabs>
        <w:ind w:left="5040" w:hanging="360"/>
      </w:pPr>
      <w:rPr>
        <w:rFonts w:ascii="Times New Roman" w:hAnsi="Times New Roman" w:hint="default"/>
      </w:rPr>
    </w:lvl>
    <w:lvl w:ilvl="7" w:tplc="0150A3F8" w:tentative="1">
      <w:start w:val="1"/>
      <w:numFmt w:val="bullet"/>
      <w:lvlText w:val="•"/>
      <w:lvlJc w:val="left"/>
      <w:pPr>
        <w:tabs>
          <w:tab w:val="num" w:pos="5760"/>
        </w:tabs>
        <w:ind w:left="5760" w:hanging="360"/>
      </w:pPr>
      <w:rPr>
        <w:rFonts w:ascii="Times New Roman" w:hAnsi="Times New Roman" w:hint="default"/>
      </w:rPr>
    </w:lvl>
    <w:lvl w:ilvl="8" w:tplc="F47CFE4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9F6002D"/>
    <w:multiLevelType w:val="hybridMultilevel"/>
    <w:tmpl w:val="53B0E3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64642D"/>
    <w:multiLevelType w:val="multilevel"/>
    <w:tmpl w:val="C764F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11F2B92"/>
    <w:multiLevelType w:val="multilevel"/>
    <w:tmpl w:val="84A42F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79758E6"/>
    <w:multiLevelType w:val="multilevel"/>
    <w:tmpl w:val="C3622DFC"/>
    <w:lvl w:ilvl="0">
      <w:start w:val="1"/>
      <w:numFmt w:val="decimal"/>
      <w:lvlText w:val="%1."/>
      <w:lvlJc w:val="left"/>
      <w:pPr>
        <w:ind w:left="480" w:hanging="480"/>
      </w:pPr>
      <w:rPr>
        <w:rFonts w:hint="default"/>
        <w:b/>
        <w:bCs w:val="0"/>
        <w:i w:val="0"/>
        <w:u w:val="none"/>
      </w:rPr>
    </w:lvl>
    <w:lvl w:ilvl="1">
      <w:start w:val="1"/>
      <w:numFmt w:val="decimal"/>
      <w:lvlText w:val="%1.%2."/>
      <w:lvlJc w:val="left"/>
      <w:pPr>
        <w:ind w:left="794" w:hanging="480"/>
      </w:pPr>
      <w:rPr>
        <w:rFonts w:hint="default"/>
        <w:b/>
      </w:rPr>
    </w:lvl>
    <w:lvl w:ilvl="2">
      <w:start w:val="1"/>
      <w:numFmt w:val="decimal"/>
      <w:lvlText w:val="%1.%2.%3."/>
      <w:lvlJc w:val="left"/>
      <w:pPr>
        <w:ind w:left="1348" w:hanging="720"/>
      </w:pPr>
      <w:rPr>
        <w:rFonts w:hint="default"/>
        <w:b w:val="0"/>
      </w:rPr>
    </w:lvl>
    <w:lvl w:ilvl="3">
      <w:start w:val="1"/>
      <w:numFmt w:val="decimalZero"/>
      <w:lvlText w:val="%1.%2.%3.%4."/>
      <w:lvlJc w:val="left"/>
      <w:pPr>
        <w:ind w:left="1662" w:hanging="720"/>
      </w:pPr>
      <w:rPr>
        <w:rFonts w:hint="default"/>
        <w:b w:val="0"/>
      </w:rPr>
    </w:lvl>
    <w:lvl w:ilvl="4">
      <w:start w:val="1"/>
      <w:numFmt w:val="decimalZero"/>
      <w:lvlText w:val="%1.%2.%3.%4.%5."/>
      <w:lvlJc w:val="left"/>
      <w:pPr>
        <w:ind w:left="2336" w:hanging="1080"/>
      </w:pPr>
      <w:rPr>
        <w:rFonts w:hint="default"/>
        <w:b w:val="0"/>
      </w:rPr>
    </w:lvl>
    <w:lvl w:ilvl="5">
      <w:start w:val="1"/>
      <w:numFmt w:val="decimal"/>
      <w:lvlText w:val="%1.%2.%3.%4.%5.%6."/>
      <w:lvlJc w:val="left"/>
      <w:pPr>
        <w:ind w:left="2650" w:hanging="1080"/>
      </w:pPr>
      <w:rPr>
        <w:rFonts w:hint="default"/>
        <w:b w:val="0"/>
      </w:rPr>
    </w:lvl>
    <w:lvl w:ilvl="6">
      <w:start w:val="1"/>
      <w:numFmt w:val="decimal"/>
      <w:lvlText w:val="%1.%2.%3.%4.%5.%6.%7."/>
      <w:lvlJc w:val="left"/>
      <w:pPr>
        <w:ind w:left="3324" w:hanging="1440"/>
      </w:pPr>
      <w:rPr>
        <w:rFonts w:hint="default"/>
        <w:b w:val="0"/>
      </w:rPr>
    </w:lvl>
    <w:lvl w:ilvl="7">
      <w:start w:val="1"/>
      <w:numFmt w:val="decimal"/>
      <w:lvlText w:val="%1.%2.%3.%4.%5.%6.%7.%8."/>
      <w:lvlJc w:val="left"/>
      <w:pPr>
        <w:ind w:left="3638" w:hanging="1440"/>
      </w:pPr>
      <w:rPr>
        <w:rFonts w:hint="default"/>
        <w:b w:val="0"/>
      </w:rPr>
    </w:lvl>
    <w:lvl w:ilvl="8">
      <w:start w:val="1"/>
      <w:numFmt w:val="decimal"/>
      <w:lvlText w:val="%1.%2.%3.%4.%5.%6.%7.%8.%9."/>
      <w:lvlJc w:val="left"/>
      <w:pPr>
        <w:ind w:left="4312" w:hanging="1800"/>
      </w:pPr>
      <w:rPr>
        <w:rFonts w:hint="default"/>
        <w:b w:val="0"/>
      </w:rPr>
    </w:lvl>
  </w:abstractNum>
  <w:abstractNum w:abstractNumId="10" w15:restartNumberingAfterBreak="0">
    <w:nsid w:val="6D5C2D45"/>
    <w:multiLevelType w:val="hybridMultilevel"/>
    <w:tmpl w:val="C78E4D04"/>
    <w:lvl w:ilvl="0" w:tplc="E95AD1E0">
      <w:start w:val="1"/>
      <w:numFmt w:val="bullet"/>
      <w:lvlText w:val="•"/>
      <w:lvlJc w:val="left"/>
      <w:pPr>
        <w:tabs>
          <w:tab w:val="num" w:pos="720"/>
        </w:tabs>
        <w:ind w:left="720" w:hanging="360"/>
      </w:pPr>
      <w:rPr>
        <w:rFonts w:ascii="Times New Roman" w:hAnsi="Times New Roman" w:hint="default"/>
      </w:rPr>
    </w:lvl>
    <w:lvl w:ilvl="1" w:tplc="F89E4C36" w:tentative="1">
      <w:start w:val="1"/>
      <w:numFmt w:val="bullet"/>
      <w:lvlText w:val="•"/>
      <w:lvlJc w:val="left"/>
      <w:pPr>
        <w:tabs>
          <w:tab w:val="num" w:pos="1440"/>
        </w:tabs>
        <w:ind w:left="1440" w:hanging="360"/>
      </w:pPr>
      <w:rPr>
        <w:rFonts w:ascii="Times New Roman" w:hAnsi="Times New Roman" w:hint="default"/>
      </w:rPr>
    </w:lvl>
    <w:lvl w:ilvl="2" w:tplc="432C4906" w:tentative="1">
      <w:start w:val="1"/>
      <w:numFmt w:val="bullet"/>
      <w:lvlText w:val="•"/>
      <w:lvlJc w:val="left"/>
      <w:pPr>
        <w:tabs>
          <w:tab w:val="num" w:pos="2160"/>
        </w:tabs>
        <w:ind w:left="2160" w:hanging="360"/>
      </w:pPr>
      <w:rPr>
        <w:rFonts w:ascii="Times New Roman" w:hAnsi="Times New Roman" w:hint="default"/>
      </w:rPr>
    </w:lvl>
    <w:lvl w:ilvl="3" w:tplc="FA1CB9B4" w:tentative="1">
      <w:start w:val="1"/>
      <w:numFmt w:val="bullet"/>
      <w:lvlText w:val="•"/>
      <w:lvlJc w:val="left"/>
      <w:pPr>
        <w:tabs>
          <w:tab w:val="num" w:pos="2880"/>
        </w:tabs>
        <w:ind w:left="2880" w:hanging="360"/>
      </w:pPr>
      <w:rPr>
        <w:rFonts w:ascii="Times New Roman" w:hAnsi="Times New Roman" w:hint="default"/>
      </w:rPr>
    </w:lvl>
    <w:lvl w:ilvl="4" w:tplc="ABCC1AEE" w:tentative="1">
      <w:start w:val="1"/>
      <w:numFmt w:val="bullet"/>
      <w:lvlText w:val="•"/>
      <w:lvlJc w:val="left"/>
      <w:pPr>
        <w:tabs>
          <w:tab w:val="num" w:pos="3600"/>
        </w:tabs>
        <w:ind w:left="3600" w:hanging="360"/>
      </w:pPr>
      <w:rPr>
        <w:rFonts w:ascii="Times New Roman" w:hAnsi="Times New Roman" w:hint="default"/>
      </w:rPr>
    </w:lvl>
    <w:lvl w:ilvl="5" w:tplc="8F2C23B2" w:tentative="1">
      <w:start w:val="1"/>
      <w:numFmt w:val="bullet"/>
      <w:lvlText w:val="•"/>
      <w:lvlJc w:val="left"/>
      <w:pPr>
        <w:tabs>
          <w:tab w:val="num" w:pos="4320"/>
        </w:tabs>
        <w:ind w:left="4320" w:hanging="360"/>
      </w:pPr>
      <w:rPr>
        <w:rFonts w:ascii="Times New Roman" w:hAnsi="Times New Roman" w:hint="default"/>
      </w:rPr>
    </w:lvl>
    <w:lvl w:ilvl="6" w:tplc="B65ED064" w:tentative="1">
      <w:start w:val="1"/>
      <w:numFmt w:val="bullet"/>
      <w:lvlText w:val="•"/>
      <w:lvlJc w:val="left"/>
      <w:pPr>
        <w:tabs>
          <w:tab w:val="num" w:pos="5040"/>
        </w:tabs>
        <w:ind w:left="5040" w:hanging="360"/>
      </w:pPr>
      <w:rPr>
        <w:rFonts w:ascii="Times New Roman" w:hAnsi="Times New Roman" w:hint="default"/>
      </w:rPr>
    </w:lvl>
    <w:lvl w:ilvl="7" w:tplc="3160B8C4" w:tentative="1">
      <w:start w:val="1"/>
      <w:numFmt w:val="bullet"/>
      <w:lvlText w:val="•"/>
      <w:lvlJc w:val="left"/>
      <w:pPr>
        <w:tabs>
          <w:tab w:val="num" w:pos="5760"/>
        </w:tabs>
        <w:ind w:left="5760" w:hanging="360"/>
      </w:pPr>
      <w:rPr>
        <w:rFonts w:ascii="Times New Roman" w:hAnsi="Times New Roman" w:hint="default"/>
      </w:rPr>
    </w:lvl>
    <w:lvl w:ilvl="8" w:tplc="EB2E02A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A986457"/>
    <w:multiLevelType w:val="hybridMultilevel"/>
    <w:tmpl w:val="31144B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F687CDB"/>
    <w:multiLevelType w:val="hybridMultilevel"/>
    <w:tmpl w:val="A6A23B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2"/>
  </w:num>
  <w:num w:numId="4">
    <w:abstractNumId w:val="7"/>
  </w:num>
  <w:num w:numId="5">
    <w:abstractNumId w:val="2"/>
  </w:num>
  <w:num w:numId="6">
    <w:abstractNumId w:val="8"/>
  </w:num>
  <w:num w:numId="7">
    <w:abstractNumId w:val="0"/>
  </w:num>
  <w:num w:numId="8">
    <w:abstractNumId w:val="1"/>
  </w:num>
  <w:num w:numId="9">
    <w:abstractNumId w:val="3"/>
  </w:num>
  <w:num w:numId="10">
    <w:abstractNumId w:val="10"/>
  </w:num>
  <w:num w:numId="11">
    <w:abstractNumId w:val="5"/>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5BD"/>
    <w:rsid w:val="00011AE8"/>
    <w:rsid w:val="00020307"/>
    <w:rsid w:val="000408A3"/>
    <w:rsid w:val="00040BFD"/>
    <w:rsid w:val="000519DE"/>
    <w:rsid w:val="00057C1F"/>
    <w:rsid w:val="000625D7"/>
    <w:rsid w:val="00074B98"/>
    <w:rsid w:val="0007664B"/>
    <w:rsid w:val="0008006B"/>
    <w:rsid w:val="000A5017"/>
    <w:rsid w:val="000A73D3"/>
    <w:rsid w:val="000B2908"/>
    <w:rsid w:val="000B51DC"/>
    <w:rsid w:val="000C3E21"/>
    <w:rsid w:val="000C5B43"/>
    <w:rsid w:val="000C794A"/>
    <w:rsid w:val="000C7E78"/>
    <w:rsid w:val="000D0580"/>
    <w:rsid w:val="000D26A6"/>
    <w:rsid w:val="000D3D5F"/>
    <w:rsid w:val="000D5C63"/>
    <w:rsid w:val="000D6770"/>
    <w:rsid w:val="000E56FD"/>
    <w:rsid w:val="000F4FBB"/>
    <w:rsid w:val="000F773E"/>
    <w:rsid w:val="000F7B21"/>
    <w:rsid w:val="001013D4"/>
    <w:rsid w:val="00103E1D"/>
    <w:rsid w:val="00106176"/>
    <w:rsid w:val="0011456B"/>
    <w:rsid w:val="001167EF"/>
    <w:rsid w:val="00120AB6"/>
    <w:rsid w:val="00122F32"/>
    <w:rsid w:val="00123634"/>
    <w:rsid w:val="00133356"/>
    <w:rsid w:val="001341ED"/>
    <w:rsid w:val="00134C8C"/>
    <w:rsid w:val="00150CD2"/>
    <w:rsid w:val="001566AA"/>
    <w:rsid w:val="00157C7D"/>
    <w:rsid w:val="00160132"/>
    <w:rsid w:val="0016023E"/>
    <w:rsid w:val="00164822"/>
    <w:rsid w:val="00174223"/>
    <w:rsid w:val="00176C5C"/>
    <w:rsid w:val="001800B9"/>
    <w:rsid w:val="00182B91"/>
    <w:rsid w:val="001919CA"/>
    <w:rsid w:val="00191FB3"/>
    <w:rsid w:val="00196702"/>
    <w:rsid w:val="001A0CEB"/>
    <w:rsid w:val="001A3D32"/>
    <w:rsid w:val="001A6A11"/>
    <w:rsid w:val="001C251E"/>
    <w:rsid w:val="001D0BA2"/>
    <w:rsid w:val="001D0D3E"/>
    <w:rsid w:val="001D0FC6"/>
    <w:rsid w:val="001D1586"/>
    <w:rsid w:val="001D36AA"/>
    <w:rsid w:val="001D5867"/>
    <w:rsid w:val="001E0E72"/>
    <w:rsid w:val="001E446A"/>
    <w:rsid w:val="001E7C37"/>
    <w:rsid w:val="001F36C1"/>
    <w:rsid w:val="00205688"/>
    <w:rsid w:val="00207FD8"/>
    <w:rsid w:val="0021697D"/>
    <w:rsid w:val="00227D8F"/>
    <w:rsid w:val="00237D89"/>
    <w:rsid w:val="0024257A"/>
    <w:rsid w:val="002445AC"/>
    <w:rsid w:val="0024717F"/>
    <w:rsid w:val="00247C34"/>
    <w:rsid w:val="00251282"/>
    <w:rsid w:val="002574E1"/>
    <w:rsid w:val="00260CCE"/>
    <w:rsid w:val="00265B06"/>
    <w:rsid w:val="00275ACC"/>
    <w:rsid w:val="00286723"/>
    <w:rsid w:val="00296082"/>
    <w:rsid w:val="002B68BE"/>
    <w:rsid w:val="002B7700"/>
    <w:rsid w:val="002D1574"/>
    <w:rsid w:val="002D2471"/>
    <w:rsid w:val="002E0D17"/>
    <w:rsid w:val="002E2168"/>
    <w:rsid w:val="002E6ACB"/>
    <w:rsid w:val="002E713C"/>
    <w:rsid w:val="0030708C"/>
    <w:rsid w:val="003271AD"/>
    <w:rsid w:val="00331A16"/>
    <w:rsid w:val="00331C13"/>
    <w:rsid w:val="00375383"/>
    <w:rsid w:val="003758E7"/>
    <w:rsid w:val="00387C93"/>
    <w:rsid w:val="003946A3"/>
    <w:rsid w:val="003A2A03"/>
    <w:rsid w:val="003D1291"/>
    <w:rsid w:val="003D60B4"/>
    <w:rsid w:val="003E65D3"/>
    <w:rsid w:val="003E6A08"/>
    <w:rsid w:val="003F05FB"/>
    <w:rsid w:val="003F6655"/>
    <w:rsid w:val="00402EA2"/>
    <w:rsid w:val="004032C1"/>
    <w:rsid w:val="0040745C"/>
    <w:rsid w:val="00411C9E"/>
    <w:rsid w:val="00413765"/>
    <w:rsid w:val="00416F83"/>
    <w:rsid w:val="00431635"/>
    <w:rsid w:val="00440021"/>
    <w:rsid w:val="0044319D"/>
    <w:rsid w:val="004605BC"/>
    <w:rsid w:val="004659FE"/>
    <w:rsid w:val="00470133"/>
    <w:rsid w:val="004761CF"/>
    <w:rsid w:val="00491065"/>
    <w:rsid w:val="004B4840"/>
    <w:rsid w:val="004C0ECA"/>
    <w:rsid w:val="004C205A"/>
    <w:rsid w:val="004C253A"/>
    <w:rsid w:val="004C6048"/>
    <w:rsid w:val="004D3F40"/>
    <w:rsid w:val="004D6547"/>
    <w:rsid w:val="004D6812"/>
    <w:rsid w:val="004D77C5"/>
    <w:rsid w:val="004E6182"/>
    <w:rsid w:val="004F1363"/>
    <w:rsid w:val="004F64B2"/>
    <w:rsid w:val="004F6DF4"/>
    <w:rsid w:val="0050165F"/>
    <w:rsid w:val="00507299"/>
    <w:rsid w:val="005316FE"/>
    <w:rsid w:val="00535481"/>
    <w:rsid w:val="0053606B"/>
    <w:rsid w:val="005413DC"/>
    <w:rsid w:val="00551C34"/>
    <w:rsid w:val="00560CE7"/>
    <w:rsid w:val="00564E53"/>
    <w:rsid w:val="0056688F"/>
    <w:rsid w:val="005704DB"/>
    <w:rsid w:val="005762D1"/>
    <w:rsid w:val="0058175B"/>
    <w:rsid w:val="005817AA"/>
    <w:rsid w:val="005823CE"/>
    <w:rsid w:val="005974A6"/>
    <w:rsid w:val="005A1D41"/>
    <w:rsid w:val="005A2289"/>
    <w:rsid w:val="005A64B7"/>
    <w:rsid w:val="005B2137"/>
    <w:rsid w:val="005B5AC7"/>
    <w:rsid w:val="005C34A1"/>
    <w:rsid w:val="005D637B"/>
    <w:rsid w:val="005F4D7F"/>
    <w:rsid w:val="005F59B4"/>
    <w:rsid w:val="005F63E6"/>
    <w:rsid w:val="0060633E"/>
    <w:rsid w:val="00611FB9"/>
    <w:rsid w:val="00613E75"/>
    <w:rsid w:val="00615DBC"/>
    <w:rsid w:val="00621992"/>
    <w:rsid w:val="00624DBC"/>
    <w:rsid w:val="00626E48"/>
    <w:rsid w:val="00643273"/>
    <w:rsid w:val="00650505"/>
    <w:rsid w:val="00661E71"/>
    <w:rsid w:val="00666A97"/>
    <w:rsid w:val="006822D0"/>
    <w:rsid w:val="006949C6"/>
    <w:rsid w:val="006969B9"/>
    <w:rsid w:val="006A14E2"/>
    <w:rsid w:val="006A67EF"/>
    <w:rsid w:val="006B2BE1"/>
    <w:rsid w:val="006C3735"/>
    <w:rsid w:val="006C7E40"/>
    <w:rsid w:val="006E63F4"/>
    <w:rsid w:val="006F5C5B"/>
    <w:rsid w:val="00701FC9"/>
    <w:rsid w:val="00717996"/>
    <w:rsid w:val="007244BF"/>
    <w:rsid w:val="0072495F"/>
    <w:rsid w:val="00732B60"/>
    <w:rsid w:val="00734117"/>
    <w:rsid w:val="0074496E"/>
    <w:rsid w:val="007473B3"/>
    <w:rsid w:val="007603E4"/>
    <w:rsid w:val="00760D8F"/>
    <w:rsid w:val="00771CA8"/>
    <w:rsid w:val="00776512"/>
    <w:rsid w:val="007908C2"/>
    <w:rsid w:val="007A548E"/>
    <w:rsid w:val="007A6FF8"/>
    <w:rsid w:val="007A7AB8"/>
    <w:rsid w:val="007B5CD3"/>
    <w:rsid w:val="007B73DE"/>
    <w:rsid w:val="007E22B7"/>
    <w:rsid w:val="007E6CA5"/>
    <w:rsid w:val="007F1522"/>
    <w:rsid w:val="007F1FAC"/>
    <w:rsid w:val="007F7A89"/>
    <w:rsid w:val="00801D80"/>
    <w:rsid w:val="008135E3"/>
    <w:rsid w:val="00816D65"/>
    <w:rsid w:val="00834917"/>
    <w:rsid w:val="00836129"/>
    <w:rsid w:val="00843BC1"/>
    <w:rsid w:val="00861170"/>
    <w:rsid w:val="00862879"/>
    <w:rsid w:val="00867C50"/>
    <w:rsid w:val="00867D1E"/>
    <w:rsid w:val="00871BA0"/>
    <w:rsid w:val="00872954"/>
    <w:rsid w:val="00876F7A"/>
    <w:rsid w:val="008803D6"/>
    <w:rsid w:val="0088642E"/>
    <w:rsid w:val="00893BB5"/>
    <w:rsid w:val="008B4971"/>
    <w:rsid w:val="008C46F6"/>
    <w:rsid w:val="008D2E8D"/>
    <w:rsid w:val="008D63C4"/>
    <w:rsid w:val="008E25E3"/>
    <w:rsid w:val="008E4EE1"/>
    <w:rsid w:val="008F0364"/>
    <w:rsid w:val="00901003"/>
    <w:rsid w:val="00923AC9"/>
    <w:rsid w:val="00926D46"/>
    <w:rsid w:val="009378E2"/>
    <w:rsid w:val="009411D4"/>
    <w:rsid w:val="00951C6D"/>
    <w:rsid w:val="00957822"/>
    <w:rsid w:val="00974F0F"/>
    <w:rsid w:val="00975375"/>
    <w:rsid w:val="00980D6D"/>
    <w:rsid w:val="00981739"/>
    <w:rsid w:val="00983943"/>
    <w:rsid w:val="009A3D88"/>
    <w:rsid w:val="009A54AB"/>
    <w:rsid w:val="009A5FF9"/>
    <w:rsid w:val="009B669E"/>
    <w:rsid w:val="009D531E"/>
    <w:rsid w:val="009D6ED5"/>
    <w:rsid w:val="009E2730"/>
    <w:rsid w:val="009F2C1E"/>
    <w:rsid w:val="00A01319"/>
    <w:rsid w:val="00A02B1E"/>
    <w:rsid w:val="00A03AFC"/>
    <w:rsid w:val="00A1363D"/>
    <w:rsid w:val="00A13816"/>
    <w:rsid w:val="00A144B8"/>
    <w:rsid w:val="00A14FD6"/>
    <w:rsid w:val="00A2002C"/>
    <w:rsid w:val="00A22360"/>
    <w:rsid w:val="00A32A3E"/>
    <w:rsid w:val="00A36F01"/>
    <w:rsid w:val="00A518D0"/>
    <w:rsid w:val="00A5582C"/>
    <w:rsid w:val="00A643EB"/>
    <w:rsid w:val="00A67C6F"/>
    <w:rsid w:val="00A76BE6"/>
    <w:rsid w:val="00A82C75"/>
    <w:rsid w:val="00A8498B"/>
    <w:rsid w:val="00A91C42"/>
    <w:rsid w:val="00A944FC"/>
    <w:rsid w:val="00AA6726"/>
    <w:rsid w:val="00AC44D0"/>
    <w:rsid w:val="00AD5F1B"/>
    <w:rsid w:val="00AF1C60"/>
    <w:rsid w:val="00B04EFB"/>
    <w:rsid w:val="00B1374C"/>
    <w:rsid w:val="00B17507"/>
    <w:rsid w:val="00B22913"/>
    <w:rsid w:val="00B324EE"/>
    <w:rsid w:val="00B32598"/>
    <w:rsid w:val="00B33790"/>
    <w:rsid w:val="00B33F1F"/>
    <w:rsid w:val="00B3628C"/>
    <w:rsid w:val="00B36CF1"/>
    <w:rsid w:val="00B541F7"/>
    <w:rsid w:val="00B61AAD"/>
    <w:rsid w:val="00B67BB6"/>
    <w:rsid w:val="00B706E0"/>
    <w:rsid w:val="00B7548D"/>
    <w:rsid w:val="00B8145F"/>
    <w:rsid w:val="00B91014"/>
    <w:rsid w:val="00B97C2C"/>
    <w:rsid w:val="00BA1703"/>
    <w:rsid w:val="00BA27B2"/>
    <w:rsid w:val="00BA4679"/>
    <w:rsid w:val="00BB034C"/>
    <w:rsid w:val="00BE123C"/>
    <w:rsid w:val="00BE22C4"/>
    <w:rsid w:val="00BF0919"/>
    <w:rsid w:val="00BF162B"/>
    <w:rsid w:val="00C107A1"/>
    <w:rsid w:val="00C110D6"/>
    <w:rsid w:val="00C168A5"/>
    <w:rsid w:val="00C23612"/>
    <w:rsid w:val="00C30D55"/>
    <w:rsid w:val="00C3340A"/>
    <w:rsid w:val="00C36B4E"/>
    <w:rsid w:val="00C81A11"/>
    <w:rsid w:val="00C82219"/>
    <w:rsid w:val="00C82433"/>
    <w:rsid w:val="00C85E06"/>
    <w:rsid w:val="00C94723"/>
    <w:rsid w:val="00CB1D10"/>
    <w:rsid w:val="00CB73A8"/>
    <w:rsid w:val="00CC3864"/>
    <w:rsid w:val="00CC5ECE"/>
    <w:rsid w:val="00CD2781"/>
    <w:rsid w:val="00CD2BFA"/>
    <w:rsid w:val="00CE3078"/>
    <w:rsid w:val="00CF030D"/>
    <w:rsid w:val="00CF1D67"/>
    <w:rsid w:val="00D04D9B"/>
    <w:rsid w:val="00D17966"/>
    <w:rsid w:val="00D215C1"/>
    <w:rsid w:val="00D2326D"/>
    <w:rsid w:val="00D30B5E"/>
    <w:rsid w:val="00D34488"/>
    <w:rsid w:val="00D36ECA"/>
    <w:rsid w:val="00D37BBE"/>
    <w:rsid w:val="00D63842"/>
    <w:rsid w:val="00D70B48"/>
    <w:rsid w:val="00D76722"/>
    <w:rsid w:val="00D81892"/>
    <w:rsid w:val="00D831C6"/>
    <w:rsid w:val="00D84A29"/>
    <w:rsid w:val="00D85C3F"/>
    <w:rsid w:val="00D92001"/>
    <w:rsid w:val="00DA69BF"/>
    <w:rsid w:val="00DB704A"/>
    <w:rsid w:val="00DC66E1"/>
    <w:rsid w:val="00DE52FA"/>
    <w:rsid w:val="00DE5365"/>
    <w:rsid w:val="00DE57C5"/>
    <w:rsid w:val="00DF4781"/>
    <w:rsid w:val="00E02A07"/>
    <w:rsid w:val="00E0669A"/>
    <w:rsid w:val="00E07C26"/>
    <w:rsid w:val="00E13558"/>
    <w:rsid w:val="00E211CB"/>
    <w:rsid w:val="00E26793"/>
    <w:rsid w:val="00E35795"/>
    <w:rsid w:val="00E36795"/>
    <w:rsid w:val="00E37B1F"/>
    <w:rsid w:val="00E415BD"/>
    <w:rsid w:val="00E50CB1"/>
    <w:rsid w:val="00E6552F"/>
    <w:rsid w:val="00E67FF2"/>
    <w:rsid w:val="00E7612A"/>
    <w:rsid w:val="00E84C2F"/>
    <w:rsid w:val="00E86F1C"/>
    <w:rsid w:val="00E91341"/>
    <w:rsid w:val="00E92638"/>
    <w:rsid w:val="00EA377C"/>
    <w:rsid w:val="00EA47B2"/>
    <w:rsid w:val="00EA6749"/>
    <w:rsid w:val="00EB212D"/>
    <w:rsid w:val="00EB3EC5"/>
    <w:rsid w:val="00EC382E"/>
    <w:rsid w:val="00EC6E54"/>
    <w:rsid w:val="00EC6E57"/>
    <w:rsid w:val="00ED1E89"/>
    <w:rsid w:val="00ED6944"/>
    <w:rsid w:val="00EE33E3"/>
    <w:rsid w:val="00EE7219"/>
    <w:rsid w:val="00EE7A64"/>
    <w:rsid w:val="00F1759B"/>
    <w:rsid w:val="00F22A17"/>
    <w:rsid w:val="00F25D20"/>
    <w:rsid w:val="00F5130E"/>
    <w:rsid w:val="00F52C15"/>
    <w:rsid w:val="00F5388E"/>
    <w:rsid w:val="00F6715E"/>
    <w:rsid w:val="00F753F3"/>
    <w:rsid w:val="00F7564B"/>
    <w:rsid w:val="00F83FFF"/>
    <w:rsid w:val="00FA6E0A"/>
    <w:rsid w:val="00FB6232"/>
    <w:rsid w:val="00FB69E3"/>
    <w:rsid w:val="00FC703E"/>
    <w:rsid w:val="00FD1068"/>
    <w:rsid w:val="00FE4289"/>
    <w:rsid w:val="00FF63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DCE34"/>
  <w15:docId w15:val="{24CDE830-815A-48E0-8377-8F17282D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307"/>
    <w:pPr>
      <w:tabs>
        <w:tab w:val="center" w:pos="4819"/>
        <w:tab w:val="right" w:pos="9638"/>
      </w:tabs>
    </w:pPr>
  </w:style>
  <w:style w:type="character" w:customStyle="1" w:styleId="HeaderChar">
    <w:name w:val="Header Char"/>
    <w:basedOn w:val="DefaultParagraphFont"/>
    <w:link w:val="Header"/>
    <w:uiPriority w:val="99"/>
    <w:rsid w:val="00020307"/>
  </w:style>
  <w:style w:type="paragraph" w:styleId="Footer">
    <w:name w:val="footer"/>
    <w:basedOn w:val="Normal"/>
    <w:link w:val="FooterChar"/>
    <w:unhideWhenUsed/>
    <w:rsid w:val="00020307"/>
    <w:pPr>
      <w:tabs>
        <w:tab w:val="center" w:pos="4819"/>
        <w:tab w:val="right" w:pos="9638"/>
      </w:tabs>
    </w:pPr>
  </w:style>
  <w:style w:type="character" w:customStyle="1" w:styleId="FooterChar">
    <w:name w:val="Footer Char"/>
    <w:basedOn w:val="DefaultParagraphFont"/>
    <w:link w:val="Footer"/>
    <w:rsid w:val="00020307"/>
  </w:style>
  <w:style w:type="paragraph" w:styleId="CommentText">
    <w:name w:val="annotation text"/>
    <w:basedOn w:val="Normal"/>
    <w:link w:val="CommentTextChar"/>
    <w:unhideWhenUsed/>
    <w:rsid w:val="001D0BA2"/>
    <w:rPr>
      <w:sz w:val="20"/>
    </w:rPr>
  </w:style>
  <w:style w:type="character" w:customStyle="1" w:styleId="CommentTextChar">
    <w:name w:val="Comment Text Char"/>
    <w:basedOn w:val="DefaultParagraphFont"/>
    <w:link w:val="CommentText"/>
    <w:rsid w:val="001D0BA2"/>
    <w:rPr>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560CE7"/>
    <w:pPr>
      <w:ind w:left="720"/>
      <w:contextualSpacing/>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CC5ECE"/>
  </w:style>
  <w:style w:type="paragraph" w:customStyle="1" w:styleId="Default">
    <w:name w:val="Default"/>
    <w:rsid w:val="00CC5ECE"/>
    <w:pPr>
      <w:autoSpaceDE w:val="0"/>
      <w:autoSpaceDN w:val="0"/>
      <w:adjustRightInd w:val="0"/>
    </w:pPr>
    <w:rPr>
      <w:color w:val="000000"/>
      <w:szCs w:val="24"/>
      <w:lang w:val="en-US"/>
    </w:rPr>
  </w:style>
  <w:style w:type="character" w:styleId="CommentReference">
    <w:name w:val="annotation reference"/>
    <w:basedOn w:val="DefaultParagraphFont"/>
    <w:semiHidden/>
    <w:unhideWhenUsed/>
    <w:rsid w:val="003271AD"/>
    <w:rPr>
      <w:sz w:val="16"/>
      <w:szCs w:val="16"/>
    </w:rPr>
  </w:style>
  <w:style w:type="paragraph" w:styleId="CommentSubject">
    <w:name w:val="annotation subject"/>
    <w:basedOn w:val="CommentText"/>
    <w:next w:val="CommentText"/>
    <w:link w:val="CommentSubjectChar"/>
    <w:semiHidden/>
    <w:unhideWhenUsed/>
    <w:rsid w:val="003271AD"/>
    <w:rPr>
      <w:b/>
      <w:bCs/>
    </w:rPr>
  </w:style>
  <w:style w:type="character" w:customStyle="1" w:styleId="CommentSubjectChar">
    <w:name w:val="Comment Subject Char"/>
    <w:basedOn w:val="CommentTextChar"/>
    <w:link w:val="CommentSubject"/>
    <w:semiHidden/>
    <w:rsid w:val="003271AD"/>
    <w:rPr>
      <w:b/>
      <w:bCs/>
      <w:sz w:val="20"/>
    </w:rPr>
  </w:style>
  <w:style w:type="paragraph" w:styleId="BalloonText">
    <w:name w:val="Balloon Text"/>
    <w:basedOn w:val="Normal"/>
    <w:link w:val="BalloonTextChar"/>
    <w:semiHidden/>
    <w:unhideWhenUsed/>
    <w:rsid w:val="003271AD"/>
    <w:rPr>
      <w:rFonts w:ascii="Segoe UI" w:hAnsi="Segoe UI" w:cs="Segoe UI"/>
      <w:sz w:val="18"/>
      <w:szCs w:val="18"/>
    </w:rPr>
  </w:style>
  <w:style w:type="character" w:customStyle="1" w:styleId="BalloonTextChar">
    <w:name w:val="Balloon Text Char"/>
    <w:basedOn w:val="DefaultParagraphFont"/>
    <w:link w:val="BalloonText"/>
    <w:semiHidden/>
    <w:rsid w:val="003271AD"/>
    <w:rPr>
      <w:rFonts w:ascii="Segoe UI" w:hAnsi="Segoe UI" w:cs="Segoe UI"/>
      <w:sz w:val="18"/>
      <w:szCs w:val="18"/>
    </w:rPr>
  </w:style>
  <w:style w:type="character" w:styleId="Hyperlink">
    <w:name w:val="Hyperlink"/>
    <w:basedOn w:val="DefaultParagraphFont"/>
    <w:uiPriority w:val="99"/>
    <w:semiHidden/>
    <w:unhideWhenUsed/>
    <w:rsid w:val="000408A3"/>
    <w:rPr>
      <w:color w:val="0563C1"/>
      <w:u w:val="single"/>
    </w:rPr>
  </w:style>
  <w:style w:type="paragraph" w:styleId="Revision">
    <w:name w:val="Revision"/>
    <w:hidden/>
    <w:semiHidden/>
    <w:rsid w:val="00FF63F4"/>
  </w:style>
  <w:style w:type="table" w:styleId="TableGrid">
    <w:name w:val="Table Grid"/>
    <w:basedOn w:val="TableNormal"/>
    <w:rsid w:val="006A1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 Char Car Char Char Car Char Car Char Car Char Car Char Char Car Car Char Char Char Char Char Car Char Car Char Char Car Char Car Diagrama,Footnotes refss Car Char Car Diagrama,Footnote Reference Superscript,o"/>
    <w:basedOn w:val="DefaultParagraphFont"/>
    <w:link w:val="FootnoteReferenceCharCarCharCharCarCharCarCharCarCharCarCharCharCarCarCharCharCharCharCharCarCharCarCharCharCarCharCar"/>
    <w:uiPriority w:val="99"/>
    <w:unhideWhenUsed/>
    <w:qFormat/>
    <w:rsid w:val="000C5B43"/>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0C5B43"/>
    <w:rPr>
      <w:vertAlign w:val="superscrip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Char1,f"/>
    <w:basedOn w:val="Normal"/>
    <w:link w:val="FootnoteTextChar"/>
    <w:uiPriority w:val="99"/>
    <w:unhideWhenUsed/>
    <w:qFormat/>
    <w:rsid w:val="004F64B2"/>
    <w:rPr>
      <w:sz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4F64B2"/>
    <w:rPr>
      <w:sz w:val="20"/>
    </w:rPr>
  </w:style>
  <w:style w:type="paragraph" w:customStyle="1" w:styleId="elementtoproof">
    <w:name w:val="elementtoproof"/>
    <w:basedOn w:val="Normal"/>
    <w:rsid w:val="00205688"/>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8512">
      <w:bodyDiv w:val="1"/>
      <w:marLeft w:val="0"/>
      <w:marRight w:val="0"/>
      <w:marTop w:val="0"/>
      <w:marBottom w:val="0"/>
      <w:divBdr>
        <w:top w:val="none" w:sz="0" w:space="0" w:color="auto"/>
        <w:left w:val="none" w:sz="0" w:space="0" w:color="auto"/>
        <w:bottom w:val="none" w:sz="0" w:space="0" w:color="auto"/>
        <w:right w:val="none" w:sz="0" w:space="0" w:color="auto"/>
      </w:divBdr>
      <w:divsChild>
        <w:div w:id="808518315">
          <w:marLeft w:val="0"/>
          <w:marRight w:val="0"/>
          <w:marTop w:val="0"/>
          <w:marBottom w:val="0"/>
          <w:divBdr>
            <w:top w:val="none" w:sz="0" w:space="0" w:color="auto"/>
            <w:left w:val="none" w:sz="0" w:space="0" w:color="auto"/>
            <w:bottom w:val="none" w:sz="0" w:space="0" w:color="auto"/>
            <w:right w:val="none" w:sz="0" w:space="0" w:color="auto"/>
          </w:divBdr>
        </w:div>
        <w:div w:id="1434668983">
          <w:marLeft w:val="0"/>
          <w:marRight w:val="0"/>
          <w:marTop w:val="0"/>
          <w:marBottom w:val="0"/>
          <w:divBdr>
            <w:top w:val="none" w:sz="0" w:space="0" w:color="auto"/>
            <w:left w:val="none" w:sz="0" w:space="0" w:color="auto"/>
            <w:bottom w:val="none" w:sz="0" w:space="0" w:color="auto"/>
            <w:right w:val="none" w:sz="0" w:space="0" w:color="auto"/>
          </w:divBdr>
        </w:div>
        <w:div w:id="774134675">
          <w:marLeft w:val="0"/>
          <w:marRight w:val="0"/>
          <w:marTop w:val="0"/>
          <w:marBottom w:val="0"/>
          <w:divBdr>
            <w:top w:val="none" w:sz="0" w:space="0" w:color="auto"/>
            <w:left w:val="none" w:sz="0" w:space="0" w:color="auto"/>
            <w:bottom w:val="none" w:sz="0" w:space="0" w:color="auto"/>
            <w:right w:val="none" w:sz="0" w:space="0" w:color="auto"/>
          </w:divBdr>
        </w:div>
        <w:div w:id="1013262981">
          <w:marLeft w:val="0"/>
          <w:marRight w:val="0"/>
          <w:marTop w:val="0"/>
          <w:marBottom w:val="0"/>
          <w:divBdr>
            <w:top w:val="none" w:sz="0" w:space="0" w:color="auto"/>
            <w:left w:val="none" w:sz="0" w:space="0" w:color="auto"/>
            <w:bottom w:val="none" w:sz="0" w:space="0" w:color="auto"/>
            <w:right w:val="none" w:sz="0" w:space="0" w:color="auto"/>
          </w:divBdr>
        </w:div>
        <w:div w:id="1184202444">
          <w:marLeft w:val="0"/>
          <w:marRight w:val="0"/>
          <w:marTop w:val="0"/>
          <w:marBottom w:val="0"/>
          <w:divBdr>
            <w:top w:val="none" w:sz="0" w:space="0" w:color="auto"/>
            <w:left w:val="none" w:sz="0" w:space="0" w:color="auto"/>
            <w:bottom w:val="none" w:sz="0" w:space="0" w:color="auto"/>
            <w:right w:val="none" w:sz="0" w:space="0" w:color="auto"/>
          </w:divBdr>
        </w:div>
      </w:divsChild>
    </w:div>
    <w:div w:id="331883884">
      <w:bodyDiv w:val="1"/>
      <w:marLeft w:val="0"/>
      <w:marRight w:val="0"/>
      <w:marTop w:val="0"/>
      <w:marBottom w:val="0"/>
      <w:divBdr>
        <w:top w:val="none" w:sz="0" w:space="0" w:color="auto"/>
        <w:left w:val="none" w:sz="0" w:space="0" w:color="auto"/>
        <w:bottom w:val="none" w:sz="0" w:space="0" w:color="auto"/>
        <w:right w:val="none" w:sz="0" w:space="0" w:color="auto"/>
      </w:divBdr>
    </w:div>
    <w:div w:id="415327307">
      <w:bodyDiv w:val="1"/>
      <w:marLeft w:val="0"/>
      <w:marRight w:val="0"/>
      <w:marTop w:val="0"/>
      <w:marBottom w:val="0"/>
      <w:divBdr>
        <w:top w:val="none" w:sz="0" w:space="0" w:color="auto"/>
        <w:left w:val="none" w:sz="0" w:space="0" w:color="auto"/>
        <w:bottom w:val="none" w:sz="0" w:space="0" w:color="auto"/>
        <w:right w:val="none" w:sz="0" w:space="0" w:color="auto"/>
      </w:divBdr>
    </w:div>
    <w:div w:id="478350785">
      <w:bodyDiv w:val="1"/>
      <w:marLeft w:val="0"/>
      <w:marRight w:val="0"/>
      <w:marTop w:val="0"/>
      <w:marBottom w:val="0"/>
      <w:divBdr>
        <w:top w:val="none" w:sz="0" w:space="0" w:color="auto"/>
        <w:left w:val="none" w:sz="0" w:space="0" w:color="auto"/>
        <w:bottom w:val="none" w:sz="0" w:space="0" w:color="auto"/>
        <w:right w:val="none" w:sz="0" w:space="0" w:color="auto"/>
      </w:divBdr>
    </w:div>
    <w:div w:id="507519760">
      <w:bodyDiv w:val="1"/>
      <w:marLeft w:val="0"/>
      <w:marRight w:val="0"/>
      <w:marTop w:val="0"/>
      <w:marBottom w:val="0"/>
      <w:divBdr>
        <w:top w:val="none" w:sz="0" w:space="0" w:color="auto"/>
        <w:left w:val="none" w:sz="0" w:space="0" w:color="auto"/>
        <w:bottom w:val="none" w:sz="0" w:space="0" w:color="auto"/>
        <w:right w:val="none" w:sz="0" w:space="0" w:color="auto"/>
      </w:divBdr>
    </w:div>
    <w:div w:id="530993327">
      <w:bodyDiv w:val="1"/>
      <w:marLeft w:val="0"/>
      <w:marRight w:val="0"/>
      <w:marTop w:val="0"/>
      <w:marBottom w:val="0"/>
      <w:divBdr>
        <w:top w:val="none" w:sz="0" w:space="0" w:color="auto"/>
        <w:left w:val="none" w:sz="0" w:space="0" w:color="auto"/>
        <w:bottom w:val="none" w:sz="0" w:space="0" w:color="auto"/>
        <w:right w:val="none" w:sz="0" w:space="0" w:color="auto"/>
      </w:divBdr>
    </w:div>
    <w:div w:id="605691804">
      <w:bodyDiv w:val="1"/>
      <w:marLeft w:val="0"/>
      <w:marRight w:val="0"/>
      <w:marTop w:val="0"/>
      <w:marBottom w:val="0"/>
      <w:divBdr>
        <w:top w:val="none" w:sz="0" w:space="0" w:color="auto"/>
        <w:left w:val="none" w:sz="0" w:space="0" w:color="auto"/>
        <w:bottom w:val="none" w:sz="0" w:space="0" w:color="auto"/>
        <w:right w:val="none" w:sz="0" w:space="0" w:color="auto"/>
      </w:divBdr>
      <w:divsChild>
        <w:div w:id="95902657">
          <w:marLeft w:val="547"/>
          <w:marRight w:val="0"/>
          <w:marTop w:val="0"/>
          <w:marBottom w:val="0"/>
          <w:divBdr>
            <w:top w:val="none" w:sz="0" w:space="0" w:color="auto"/>
            <w:left w:val="none" w:sz="0" w:space="0" w:color="auto"/>
            <w:bottom w:val="none" w:sz="0" w:space="0" w:color="auto"/>
            <w:right w:val="none" w:sz="0" w:space="0" w:color="auto"/>
          </w:divBdr>
        </w:div>
      </w:divsChild>
    </w:div>
    <w:div w:id="673992945">
      <w:bodyDiv w:val="1"/>
      <w:marLeft w:val="0"/>
      <w:marRight w:val="0"/>
      <w:marTop w:val="0"/>
      <w:marBottom w:val="0"/>
      <w:divBdr>
        <w:top w:val="none" w:sz="0" w:space="0" w:color="auto"/>
        <w:left w:val="none" w:sz="0" w:space="0" w:color="auto"/>
        <w:bottom w:val="none" w:sz="0" w:space="0" w:color="auto"/>
        <w:right w:val="none" w:sz="0" w:space="0" w:color="auto"/>
      </w:divBdr>
    </w:div>
    <w:div w:id="715200939">
      <w:bodyDiv w:val="1"/>
      <w:marLeft w:val="0"/>
      <w:marRight w:val="0"/>
      <w:marTop w:val="0"/>
      <w:marBottom w:val="0"/>
      <w:divBdr>
        <w:top w:val="none" w:sz="0" w:space="0" w:color="auto"/>
        <w:left w:val="none" w:sz="0" w:space="0" w:color="auto"/>
        <w:bottom w:val="none" w:sz="0" w:space="0" w:color="auto"/>
        <w:right w:val="none" w:sz="0" w:space="0" w:color="auto"/>
      </w:divBdr>
    </w:div>
    <w:div w:id="781342298">
      <w:bodyDiv w:val="1"/>
      <w:marLeft w:val="0"/>
      <w:marRight w:val="0"/>
      <w:marTop w:val="0"/>
      <w:marBottom w:val="0"/>
      <w:divBdr>
        <w:top w:val="none" w:sz="0" w:space="0" w:color="auto"/>
        <w:left w:val="none" w:sz="0" w:space="0" w:color="auto"/>
        <w:bottom w:val="none" w:sz="0" w:space="0" w:color="auto"/>
        <w:right w:val="none" w:sz="0" w:space="0" w:color="auto"/>
      </w:divBdr>
    </w:div>
    <w:div w:id="876745716">
      <w:bodyDiv w:val="1"/>
      <w:marLeft w:val="0"/>
      <w:marRight w:val="0"/>
      <w:marTop w:val="0"/>
      <w:marBottom w:val="0"/>
      <w:divBdr>
        <w:top w:val="none" w:sz="0" w:space="0" w:color="auto"/>
        <w:left w:val="none" w:sz="0" w:space="0" w:color="auto"/>
        <w:bottom w:val="none" w:sz="0" w:space="0" w:color="auto"/>
        <w:right w:val="none" w:sz="0" w:space="0" w:color="auto"/>
      </w:divBdr>
    </w:div>
    <w:div w:id="927734882">
      <w:bodyDiv w:val="1"/>
      <w:marLeft w:val="0"/>
      <w:marRight w:val="0"/>
      <w:marTop w:val="0"/>
      <w:marBottom w:val="0"/>
      <w:divBdr>
        <w:top w:val="none" w:sz="0" w:space="0" w:color="auto"/>
        <w:left w:val="none" w:sz="0" w:space="0" w:color="auto"/>
        <w:bottom w:val="none" w:sz="0" w:space="0" w:color="auto"/>
        <w:right w:val="none" w:sz="0" w:space="0" w:color="auto"/>
      </w:divBdr>
    </w:div>
    <w:div w:id="932862945">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997265063">
      <w:bodyDiv w:val="1"/>
      <w:marLeft w:val="0"/>
      <w:marRight w:val="0"/>
      <w:marTop w:val="0"/>
      <w:marBottom w:val="0"/>
      <w:divBdr>
        <w:top w:val="none" w:sz="0" w:space="0" w:color="auto"/>
        <w:left w:val="none" w:sz="0" w:space="0" w:color="auto"/>
        <w:bottom w:val="none" w:sz="0" w:space="0" w:color="auto"/>
        <w:right w:val="none" w:sz="0" w:space="0" w:color="auto"/>
      </w:divBdr>
    </w:div>
    <w:div w:id="1015116787">
      <w:bodyDiv w:val="1"/>
      <w:marLeft w:val="0"/>
      <w:marRight w:val="0"/>
      <w:marTop w:val="0"/>
      <w:marBottom w:val="0"/>
      <w:divBdr>
        <w:top w:val="none" w:sz="0" w:space="0" w:color="auto"/>
        <w:left w:val="none" w:sz="0" w:space="0" w:color="auto"/>
        <w:bottom w:val="none" w:sz="0" w:space="0" w:color="auto"/>
        <w:right w:val="none" w:sz="0" w:space="0" w:color="auto"/>
      </w:divBdr>
    </w:div>
    <w:div w:id="1023286099">
      <w:bodyDiv w:val="1"/>
      <w:marLeft w:val="0"/>
      <w:marRight w:val="0"/>
      <w:marTop w:val="0"/>
      <w:marBottom w:val="0"/>
      <w:divBdr>
        <w:top w:val="none" w:sz="0" w:space="0" w:color="auto"/>
        <w:left w:val="none" w:sz="0" w:space="0" w:color="auto"/>
        <w:bottom w:val="none" w:sz="0" w:space="0" w:color="auto"/>
        <w:right w:val="none" w:sz="0" w:space="0" w:color="auto"/>
      </w:divBdr>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112283848">
      <w:bodyDiv w:val="1"/>
      <w:marLeft w:val="0"/>
      <w:marRight w:val="0"/>
      <w:marTop w:val="0"/>
      <w:marBottom w:val="0"/>
      <w:divBdr>
        <w:top w:val="none" w:sz="0" w:space="0" w:color="auto"/>
        <w:left w:val="none" w:sz="0" w:space="0" w:color="auto"/>
        <w:bottom w:val="none" w:sz="0" w:space="0" w:color="auto"/>
        <w:right w:val="none" w:sz="0" w:space="0" w:color="auto"/>
      </w:divBdr>
    </w:div>
    <w:div w:id="1170758821">
      <w:bodyDiv w:val="1"/>
      <w:marLeft w:val="0"/>
      <w:marRight w:val="0"/>
      <w:marTop w:val="0"/>
      <w:marBottom w:val="0"/>
      <w:divBdr>
        <w:top w:val="none" w:sz="0" w:space="0" w:color="auto"/>
        <w:left w:val="none" w:sz="0" w:space="0" w:color="auto"/>
        <w:bottom w:val="none" w:sz="0" w:space="0" w:color="auto"/>
        <w:right w:val="none" w:sz="0" w:space="0" w:color="auto"/>
      </w:divBdr>
    </w:div>
    <w:div w:id="1236086975">
      <w:bodyDiv w:val="1"/>
      <w:marLeft w:val="0"/>
      <w:marRight w:val="0"/>
      <w:marTop w:val="0"/>
      <w:marBottom w:val="0"/>
      <w:divBdr>
        <w:top w:val="none" w:sz="0" w:space="0" w:color="auto"/>
        <w:left w:val="none" w:sz="0" w:space="0" w:color="auto"/>
        <w:bottom w:val="none" w:sz="0" w:space="0" w:color="auto"/>
        <w:right w:val="none" w:sz="0" w:space="0" w:color="auto"/>
      </w:divBdr>
    </w:div>
    <w:div w:id="1395618437">
      <w:bodyDiv w:val="1"/>
      <w:marLeft w:val="0"/>
      <w:marRight w:val="0"/>
      <w:marTop w:val="0"/>
      <w:marBottom w:val="0"/>
      <w:divBdr>
        <w:top w:val="none" w:sz="0" w:space="0" w:color="auto"/>
        <w:left w:val="none" w:sz="0" w:space="0" w:color="auto"/>
        <w:bottom w:val="none" w:sz="0" w:space="0" w:color="auto"/>
        <w:right w:val="none" w:sz="0" w:space="0" w:color="auto"/>
      </w:divBdr>
    </w:div>
    <w:div w:id="1462845112">
      <w:bodyDiv w:val="1"/>
      <w:marLeft w:val="0"/>
      <w:marRight w:val="0"/>
      <w:marTop w:val="0"/>
      <w:marBottom w:val="0"/>
      <w:divBdr>
        <w:top w:val="none" w:sz="0" w:space="0" w:color="auto"/>
        <w:left w:val="none" w:sz="0" w:space="0" w:color="auto"/>
        <w:bottom w:val="none" w:sz="0" w:space="0" w:color="auto"/>
        <w:right w:val="none" w:sz="0" w:space="0" w:color="auto"/>
      </w:divBdr>
      <w:divsChild>
        <w:div w:id="257643818">
          <w:marLeft w:val="547"/>
          <w:marRight w:val="0"/>
          <w:marTop w:val="0"/>
          <w:marBottom w:val="0"/>
          <w:divBdr>
            <w:top w:val="none" w:sz="0" w:space="0" w:color="auto"/>
            <w:left w:val="none" w:sz="0" w:space="0" w:color="auto"/>
            <w:bottom w:val="none" w:sz="0" w:space="0" w:color="auto"/>
            <w:right w:val="none" w:sz="0" w:space="0" w:color="auto"/>
          </w:divBdr>
        </w:div>
      </w:divsChild>
    </w:div>
    <w:div w:id="1463380066">
      <w:bodyDiv w:val="1"/>
      <w:marLeft w:val="0"/>
      <w:marRight w:val="0"/>
      <w:marTop w:val="0"/>
      <w:marBottom w:val="0"/>
      <w:divBdr>
        <w:top w:val="none" w:sz="0" w:space="0" w:color="auto"/>
        <w:left w:val="none" w:sz="0" w:space="0" w:color="auto"/>
        <w:bottom w:val="none" w:sz="0" w:space="0" w:color="auto"/>
        <w:right w:val="none" w:sz="0" w:space="0" w:color="auto"/>
      </w:divBdr>
    </w:div>
    <w:div w:id="1497570198">
      <w:bodyDiv w:val="1"/>
      <w:marLeft w:val="0"/>
      <w:marRight w:val="0"/>
      <w:marTop w:val="0"/>
      <w:marBottom w:val="0"/>
      <w:divBdr>
        <w:top w:val="none" w:sz="0" w:space="0" w:color="auto"/>
        <w:left w:val="none" w:sz="0" w:space="0" w:color="auto"/>
        <w:bottom w:val="none" w:sz="0" w:space="0" w:color="auto"/>
        <w:right w:val="none" w:sz="0" w:space="0" w:color="auto"/>
      </w:divBdr>
    </w:div>
    <w:div w:id="1526164522">
      <w:bodyDiv w:val="1"/>
      <w:marLeft w:val="0"/>
      <w:marRight w:val="0"/>
      <w:marTop w:val="0"/>
      <w:marBottom w:val="0"/>
      <w:divBdr>
        <w:top w:val="none" w:sz="0" w:space="0" w:color="auto"/>
        <w:left w:val="none" w:sz="0" w:space="0" w:color="auto"/>
        <w:bottom w:val="none" w:sz="0" w:space="0" w:color="auto"/>
        <w:right w:val="none" w:sz="0" w:space="0" w:color="auto"/>
      </w:divBdr>
    </w:div>
    <w:div w:id="1610161669">
      <w:bodyDiv w:val="1"/>
      <w:marLeft w:val="0"/>
      <w:marRight w:val="0"/>
      <w:marTop w:val="0"/>
      <w:marBottom w:val="0"/>
      <w:divBdr>
        <w:top w:val="none" w:sz="0" w:space="0" w:color="auto"/>
        <w:left w:val="none" w:sz="0" w:space="0" w:color="auto"/>
        <w:bottom w:val="none" w:sz="0" w:space="0" w:color="auto"/>
        <w:right w:val="none" w:sz="0" w:space="0" w:color="auto"/>
      </w:divBdr>
    </w:div>
    <w:div w:id="1670791281">
      <w:bodyDiv w:val="1"/>
      <w:marLeft w:val="0"/>
      <w:marRight w:val="0"/>
      <w:marTop w:val="0"/>
      <w:marBottom w:val="0"/>
      <w:divBdr>
        <w:top w:val="none" w:sz="0" w:space="0" w:color="auto"/>
        <w:left w:val="none" w:sz="0" w:space="0" w:color="auto"/>
        <w:bottom w:val="none" w:sz="0" w:space="0" w:color="auto"/>
        <w:right w:val="none" w:sz="0" w:space="0" w:color="auto"/>
      </w:divBdr>
    </w:div>
    <w:div w:id="1685932972">
      <w:bodyDiv w:val="1"/>
      <w:marLeft w:val="0"/>
      <w:marRight w:val="0"/>
      <w:marTop w:val="0"/>
      <w:marBottom w:val="0"/>
      <w:divBdr>
        <w:top w:val="none" w:sz="0" w:space="0" w:color="auto"/>
        <w:left w:val="none" w:sz="0" w:space="0" w:color="auto"/>
        <w:bottom w:val="none" w:sz="0" w:space="0" w:color="auto"/>
        <w:right w:val="none" w:sz="0" w:space="0" w:color="auto"/>
      </w:divBdr>
    </w:div>
    <w:div w:id="1838034174">
      <w:bodyDiv w:val="1"/>
      <w:marLeft w:val="0"/>
      <w:marRight w:val="0"/>
      <w:marTop w:val="0"/>
      <w:marBottom w:val="0"/>
      <w:divBdr>
        <w:top w:val="none" w:sz="0" w:space="0" w:color="auto"/>
        <w:left w:val="none" w:sz="0" w:space="0" w:color="auto"/>
        <w:bottom w:val="none" w:sz="0" w:space="0" w:color="auto"/>
        <w:right w:val="none" w:sz="0" w:space="0" w:color="auto"/>
      </w:divBdr>
    </w:div>
    <w:div w:id="1850020444">
      <w:bodyDiv w:val="1"/>
      <w:marLeft w:val="0"/>
      <w:marRight w:val="0"/>
      <w:marTop w:val="0"/>
      <w:marBottom w:val="0"/>
      <w:divBdr>
        <w:top w:val="none" w:sz="0" w:space="0" w:color="auto"/>
        <w:left w:val="none" w:sz="0" w:space="0" w:color="auto"/>
        <w:bottom w:val="none" w:sz="0" w:space="0" w:color="auto"/>
        <w:right w:val="none" w:sz="0" w:space="0" w:color="auto"/>
      </w:divBdr>
    </w:div>
    <w:div w:id="1907449930">
      <w:bodyDiv w:val="1"/>
      <w:marLeft w:val="0"/>
      <w:marRight w:val="0"/>
      <w:marTop w:val="0"/>
      <w:marBottom w:val="0"/>
      <w:divBdr>
        <w:top w:val="none" w:sz="0" w:space="0" w:color="auto"/>
        <w:left w:val="none" w:sz="0" w:space="0" w:color="auto"/>
        <w:bottom w:val="none" w:sz="0" w:space="0" w:color="auto"/>
        <w:right w:val="none" w:sz="0" w:space="0" w:color="auto"/>
      </w:divBdr>
    </w:div>
    <w:div w:id="1925649857">
      <w:bodyDiv w:val="1"/>
      <w:marLeft w:val="0"/>
      <w:marRight w:val="0"/>
      <w:marTop w:val="0"/>
      <w:marBottom w:val="0"/>
      <w:divBdr>
        <w:top w:val="none" w:sz="0" w:space="0" w:color="auto"/>
        <w:left w:val="none" w:sz="0" w:space="0" w:color="auto"/>
        <w:bottom w:val="none" w:sz="0" w:space="0" w:color="auto"/>
        <w:right w:val="none" w:sz="0" w:space="0" w:color="auto"/>
      </w:divBdr>
    </w:div>
    <w:div w:id="1954434764">
      <w:bodyDiv w:val="1"/>
      <w:marLeft w:val="0"/>
      <w:marRight w:val="0"/>
      <w:marTop w:val="0"/>
      <w:marBottom w:val="0"/>
      <w:divBdr>
        <w:top w:val="none" w:sz="0" w:space="0" w:color="auto"/>
        <w:left w:val="none" w:sz="0" w:space="0" w:color="auto"/>
        <w:bottom w:val="none" w:sz="0" w:space="0" w:color="auto"/>
        <w:right w:val="none" w:sz="0" w:space="0" w:color="auto"/>
      </w:divBdr>
      <w:divsChild>
        <w:div w:id="11802872">
          <w:marLeft w:val="547"/>
          <w:marRight w:val="0"/>
          <w:marTop w:val="0"/>
          <w:marBottom w:val="0"/>
          <w:divBdr>
            <w:top w:val="none" w:sz="0" w:space="0" w:color="auto"/>
            <w:left w:val="none" w:sz="0" w:space="0" w:color="auto"/>
            <w:bottom w:val="none" w:sz="0" w:space="0" w:color="auto"/>
            <w:right w:val="none" w:sz="0" w:space="0" w:color="auto"/>
          </w:divBdr>
        </w:div>
      </w:divsChild>
    </w:div>
    <w:div w:id="1970091537">
      <w:bodyDiv w:val="1"/>
      <w:marLeft w:val="0"/>
      <w:marRight w:val="0"/>
      <w:marTop w:val="0"/>
      <w:marBottom w:val="0"/>
      <w:divBdr>
        <w:top w:val="none" w:sz="0" w:space="0" w:color="auto"/>
        <w:left w:val="none" w:sz="0" w:space="0" w:color="auto"/>
        <w:bottom w:val="none" w:sz="0" w:space="0" w:color="auto"/>
        <w:right w:val="none" w:sz="0" w:space="0" w:color="auto"/>
      </w:divBdr>
    </w:div>
    <w:div w:id="1983731496">
      <w:bodyDiv w:val="1"/>
      <w:marLeft w:val="0"/>
      <w:marRight w:val="0"/>
      <w:marTop w:val="0"/>
      <w:marBottom w:val="0"/>
      <w:divBdr>
        <w:top w:val="none" w:sz="0" w:space="0" w:color="auto"/>
        <w:left w:val="none" w:sz="0" w:space="0" w:color="auto"/>
        <w:bottom w:val="none" w:sz="0" w:space="0" w:color="auto"/>
        <w:right w:val="none" w:sz="0" w:space="0" w:color="auto"/>
      </w:divBdr>
    </w:div>
    <w:div w:id="2020497279">
      <w:bodyDiv w:val="1"/>
      <w:marLeft w:val="0"/>
      <w:marRight w:val="0"/>
      <w:marTop w:val="0"/>
      <w:marBottom w:val="0"/>
      <w:divBdr>
        <w:top w:val="none" w:sz="0" w:space="0" w:color="auto"/>
        <w:left w:val="none" w:sz="0" w:space="0" w:color="auto"/>
        <w:bottom w:val="none" w:sz="0" w:space="0" w:color="auto"/>
        <w:right w:val="none" w:sz="0" w:space="0" w:color="auto"/>
      </w:divBdr>
    </w:div>
    <w:div w:id="2066835447">
      <w:bodyDiv w:val="1"/>
      <w:marLeft w:val="0"/>
      <w:marRight w:val="0"/>
      <w:marTop w:val="0"/>
      <w:marBottom w:val="0"/>
      <w:divBdr>
        <w:top w:val="none" w:sz="0" w:space="0" w:color="auto"/>
        <w:left w:val="none" w:sz="0" w:space="0" w:color="auto"/>
        <w:bottom w:val="none" w:sz="0" w:space="0" w:color="auto"/>
        <w:right w:val="none" w:sz="0" w:space="0" w:color="auto"/>
      </w:divBdr>
    </w:div>
    <w:div w:id="209239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9386B-1AA5-4C4C-AC77-222AD2468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4206</Words>
  <Characters>23979</Characters>
  <Application>Microsoft Office Word</Application>
  <DocSecurity>0</DocSecurity>
  <Lines>199</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28129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Raimonda Andrijauskienė</cp:lastModifiedBy>
  <cp:revision>3</cp:revision>
  <cp:lastPrinted>2023-12-12T09:14:00Z</cp:lastPrinted>
  <dcterms:created xsi:type="dcterms:W3CDTF">2024-05-31T03:58:00Z</dcterms:created>
  <dcterms:modified xsi:type="dcterms:W3CDTF">2024-05-31T04:09:00Z</dcterms:modified>
</cp:coreProperties>
</file>